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信息系统运行维护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海口市财政信息中心</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海口市财政局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2019</w:t>
      </w:r>
      <w:r>
        <w:rPr>
          <w:rFonts w:hint="eastAsia" w:ascii="仿宋_GB2312" w:hAnsi="仿宋_GB2312" w:eastAsia="仿宋_GB2312" w:cs="仿宋_GB2312"/>
          <w:sz w:val="32"/>
          <w:szCs w:val="32"/>
          <w:u w:val="single"/>
        </w:rPr>
        <w:t xml:space="preserve">年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日至 </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 xml:space="preserve">             </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p>
    <w:p>
      <w:pPr/>
    </w:p>
    <w:p>
      <w:pPr/>
    </w:p>
    <w:p>
      <w:pPr/>
    </w:p>
    <w:p>
      <w:pPr>
        <w:tabs>
          <w:tab w:val="left" w:pos="720"/>
          <w:tab w:val="left" w:pos="3600"/>
        </w:tabs>
        <w:spacing w:line="578" w:lineRule="exact"/>
        <w:jc w:val="left"/>
        <w:rPr>
          <w:rFonts w:hint="eastAsia" w:hAnsi="仿宋_GB2312" w:cs="仿宋_GB2312"/>
          <w:b/>
          <w:bCs/>
          <w:szCs w:val="32"/>
        </w:rPr>
      </w:pPr>
    </w:p>
    <w:p>
      <w:pPr>
        <w:pStyle w:val="13"/>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lang w:val="en-US" w:eastAsia="zh-CN"/>
        </w:rPr>
      </w:pPr>
      <w:r>
        <w:rPr>
          <w:rFonts w:hint="eastAsia" w:ascii="宋体" w:hAnsi="宋体" w:eastAsia="宋体"/>
          <w:b/>
          <w:bCs/>
          <w:sz w:val="24"/>
        </w:rPr>
        <w:t>项目名称：</w:t>
      </w:r>
      <w:r>
        <w:rPr>
          <w:rFonts w:hint="eastAsia" w:ascii="宋体" w:hAnsi="宋体"/>
          <w:b/>
          <w:bCs/>
          <w:sz w:val="24"/>
          <w:lang w:eastAsia="zh-CN"/>
        </w:rPr>
        <w:t>信息系统运行维护</w:t>
      </w:r>
    </w:p>
    <w:tbl>
      <w:tblPr>
        <w:tblStyle w:val="1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3213"/>
        <w:gridCol w:w="861"/>
        <w:gridCol w:w="1018"/>
        <w:gridCol w:w="97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200"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3213"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668"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08"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200"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3213"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86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101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97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81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200" w:type="dxa"/>
            <w:vAlign w:val="center"/>
          </w:tcPr>
          <w:p>
            <w:pPr>
              <w:tabs>
                <w:tab w:val="left" w:pos="720"/>
                <w:tab w:val="left" w:pos="3600"/>
              </w:tabs>
              <w:spacing w:line="578" w:lineRule="exact"/>
              <w:jc w:val="left"/>
              <w:rPr>
                <w:rFonts w:hint="eastAsia" w:ascii="宋体" w:hAnsi="宋体" w:eastAsia="宋体"/>
                <w:sz w:val="24"/>
                <w:lang w:eastAsia="zh-CN"/>
              </w:rPr>
            </w:pPr>
            <w:r>
              <w:rPr>
                <w:rFonts w:hint="eastAsia" w:ascii="仿宋_GB2312" w:hAnsi="仿宋_GB2312" w:eastAsia="仿宋_GB2312" w:cs="仿宋_GB2312"/>
                <w:sz w:val="24"/>
                <w:lang w:eastAsia="zh-CN"/>
              </w:rPr>
              <w:t>信息系统维护</w:t>
            </w:r>
          </w:p>
        </w:tc>
        <w:tc>
          <w:tcPr>
            <w:tcW w:w="3213" w:type="dxa"/>
            <w:vAlign w:val="top"/>
          </w:tcPr>
          <w:p>
            <w:pPr>
              <w:tabs>
                <w:tab w:val="left" w:pos="720"/>
                <w:tab w:val="left" w:pos="3600"/>
              </w:tabs>
              <w:spacing w:line="578" w:lineRule="exact"/>
              <w:jc w:val="left"/>
              <w:rPr>
                <w:rFonts w:hint="eastAsia" w:ascii="宋体" w:hAnsi="宋体" w:eastAsia="宋体"/>
                <w:sz w:val="24"/>
              </w:rPr>
            </w:pPr>
            <w:r>
              <w:rPr>
                <w:rFonts w:hint="eastAsia" w:ascii="仿宋_GB2312" w:hAnsi="仿宋_GB2312" w:eastAsia="仿宋_GB2312" w:cs="仿宋_GB2312"/>
                <w:sz w:val="24"/>
                <w:lang w:eastAsia="zh-CN"/>
              </w:rPr>
              <w:t>承担海口市财政局现有业务系统、计算机网络系统和局机关终端系统日常的现场运行维护和技术支撑保障等工作，确保各信息系统稳定运行。</w:t>
            </w:r>
          </w:p>
        </w:tc>
        <w:tc>
          <w:tcPr>
            <w:tcW w:w="861"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90%-100%</w:t>
            </w:r>
          </w:p>
        </w:tc>
        <w:tc>
          <w:tcPr>
            <w:tcW w:w="1018"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80%-90%</w:t>
            </w:r>
          </w:p>
        </w:tc>
        <w:tc>
          <w:tcPr>
            <w:tcW w:w="971"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70%-80%</w:t>
            </w:r>
          </w:p>
        </w:tc>
        <w:tc>
          <w:tcPr>
            <w:tcW w:w="818"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70%以下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200" w:type="dxa"/>
            <w:vAlign w:val="center"/>
          </w:tcPr>
          <w:p>
            <w:pPr>
              <w:tabs>
                <w:tab w:val="left" w:pos="720"/>
                <w:tab w:val="left" w:pos="3600"/>
              </w:tabs>
              <w:spacing w:line="578" w:lineRule="exact"/>
              <w:jc w:val="center"/>
              <w:rPr>
                <w:rFonts w:hint="eastAsia" w:ascii="宋体" w:hAnsi="宋体" w:eastAsia="宋体"/>
                <w:sz w:val="24"/>
              </w:rPr>
            </w:pPr>
          </w:p>
        </w:tc>
        <w:tc>
          <w:tcPr>
            <w:tcW w:w="3213" w:type="dxa"/>
            <w:vAlign w:val="top"/>
          </w:tcPr>
          <w:p>
            <w:pPr>
              <w:tabs>
                <w:tab w:val="left" w:pos="720"/>
                <w:tab w:val="left" w:pos="3600"/>
              </w:tabs>
              <w:spacing w:line="578" w:lineRule="exact"/>
              <w:jc w:val="center"/>
              <w:rPr>
                <w:rFonts w:hint="eastAsia" w:ascii="宋体" w:hAnsi="宋体" w:eastAsia="宋体"/>
                <w:sz w:val="24"/>
              </w:rPr>
            </w:pPr>
          </w:p>
        </w:tc>
        <w:tc>
          <w:tcPr>
            <w:tcW w:w="861" w:type="dxa"/>
            <w:vAlign w:val="top"/>
          </w:tcPr>
          <w:p>
            <w:pPr>
              <w:tabs>
                <w:tab w:val="left" w:pos="720"/>
                <w:tab w:val="left" w:pos="3600"/>
              </w:tabs>
              <w:spacing w:line="578" w:lineRule="exact"/>
              <w:jc w:val="center"/>
              <w:rPr>
                <w:rFonts w:hint="eastAsia" w:ascii="宋体" w:hAnsi="宋体" w:eastAsia="宋体"/>
                <w:sz w:val="21"/>
                <w:szCs w:val="21"/>
              </w:rPr>
            </w:pPr>
          </w:p>
        </w:tc>
        <w:tc>
          <w:tcPr>
            <w:tcW w:w="1018" w:type="dxa"/>
            <w:vAlign w:val="top"/>
          </w:tcPr>
          <w:p>
            <w:pPr>
              <w:tabs>
                <w:tab w:val="left" w:pos="720"/>
                <w:tab w:val="left" w:pos="3600"/>
              </w:tabs>
              <w:spacing w:line="578" w:lineRule="exact"/>
              <w:jc w:val="center"/>
              <w:rPr>
                <w:rFonts w:hint="eastAsia" w:ascii="宋体" w:hAnsi="宋体" w:eastAsia="宋体"/>
                <w:sz w:val="21"/>
                <w:szCs w:val="21"/>
              </w:rPr>
            </w:pPr>
          </w:p>
        </w:tc>
        <w:tc>
          <w:tcPr>
            <w:tcW w:w="971" w:type="dxa"/>
            <w:vAlign w:val="top"/>
          </w:tcPr>
          <w:p>
            <w:pPr>
              <w:tabs>
                <w:tab w:val="left" w:pos="720"/>
                <w:tab w:val="left" w:pos="3600"/>
              </w:tabs>
              <w:spacing w:line="578" w:lineRule="exact"/>
              <w:jc w:val="center"/>
              <w:rPr>
                <w:rFonts w:hint="eastAsia" w:ascii="宋体" w:hAnsi="宋体" w:eastAsia="宋体"/>
                <w:sz w:val="21"/>
                <w:szCs w:val="21"/>
              </w:rPr>
            </w:pPr>
          </w:p>
        </w:tc>
        <w:tc>
          <w:tcPr>
            <w:tcW w:w="818" w:type="dxa"/>
            <w:vAlign w:val="top"/>
          </w:tcPr>
          <w:p>
            <w:pPr>
              <w:tabs>
                <w:tab w:val="left" w:pos="720"/>
                <w:tab w:val="left" w:pos="3600"/>
              </w:tabs>
              <w:spacing w:line="578"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200"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 xml:space="preserve"> ……</w:t>
            </w:r>
          </w:p>
        </w:tc>
        <w:tc>
          <w:tcPr>
            <w:tcW w:w="3213" w:type="dxa"/>
            <w:vAlign w:val="top"/>
          </w:tcPr>
          <w:p>
            <w:pPr>
              <w:tabs>
                <w:tab w:val="left" w:pos="720"/>
                <w:tab w:val="left" w:pos="3600"/>
              </w:tabs>
              <w:spacing w:line="578" w:lineRule="exact"/>
              <w:jc w:val="center"/>
              <w:rPr>
                <w:rFonts w:hint="eastAsia" w:ascii="宋体" w:hAnsi="宋体" w:eastAsia="宋体"/>
                <w:sz w:val="24"/>
              </w:rPr>
            </w:pPr>
          </w:p>
        </w:tc>
        <w:tc>
          <w:tcPr>
            <w:tcW w:w="861" w:type="dxa"/>
            <w:vAlign w:val="top"/>
          </w:tcPr>
          <w:p>
            <w:pPr>
              <w:tabs>
                <w:tab w:val="left" w:pos="720"/>
                <w:tab w:val="left" w:pos="3600"/>
              </w:tabs>
              <w:spacing w:line="578" w:lineRule="exact"/>
              <w:jc w:val="center"/>
              <w:rPr>
                <w:rFonts w:hint="eastAsia" w:ascii="宋体" w:hAnsi="宋体" w:eastAsia="宋体"/>
                <w:sz w:val="21"/>
                <w:szCs w:val="21"/>
              </w:rPr>
            </w:pPr>
          </w:p>
        </w:tc>
        <w:tc>
          <w:tcPr>
            <w:tcW w:w="1018" w:type="dxa"/>
            <w:vAlign w:val="top"/>
          </w:tcPr>
          <w:p>
            <w:pPr>
              <w:tabs>
                <w:tab w:val="left" w:pos="720"/>
                <w:tab w:val="left" w:pos="3600"/>
              </w:tabs>
              <w:spacing w:line="578" w:lineRule="exact"/>
              <w:jc w:val="center"/>
              <w:rPr>
                <w:rFonts w:hint="eastAsia" w:ascii="宋体" w:hAnsi="宋体" w:eastAsia="宋体"/>
                <w:sz w:val="21"/>
                <w:szCs w:val="21"/>
              </w:rPr>
            </w:pPr>
          </w:p>
        </w:tc>
        <w:tc>
          <w:tcPr>
            <w:tcW w:w="971" w:type="dxa"/>
            <w:vAlign w:val="top"/>
          </w:tcPr>
          <w:p>
            <w:pPr>
              <w:tabs>
                <w:tab w:val="left" w:pos="720"/>
                <w:tab w:val="left" w:pos="3600"/>
              </w:tabs>
              <w:spacing w:line="578" w:lineRule="exact"/>
              <w:jc w:val="center"/>
              <w:rPr>
                <w:rFonts w:hint="eastAsia" w:ascii="宋体" w:hAnsi="宋体" w:eastAsia="宋体"/>
                <w:sz w:val="21"/>
                <w:szCs w:val="21"/>
              </w:rPr>
            </w:pPr>
          </w:p>
        </w:tc>
        <w:tc>
          <w:tcPr>
            <w:tcW w:w="818" w:type="dxa"/>
            <w:vAlign w:val="top"/>
          </w:tcPr>
          <w:p>
            <w:pPr>
              <w:tabs>
                <w:tab w:val="left" w:pos="720"/>
                <w:tab w:val="left" w:pos="3600"/>
              </w:tabs>
              <w:spacing w:line="578"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200" w:type="dxa"/>
            <w:vAlign w:val="center"/>
          </w:tcPr>
          <w:p>
            <w:pPr>
              <w:tabs>
                <w:tab w:val="left" w:pos="720"/>
                <w:tab w:val="left" w:pos="3600"/>
              </w:tabs>
              <w:spacing w:line="578" w:lineRule="exact"/>
              <w:jc w:val="center"/>
              <w:rPr>
                <w:rFonts w:hint="eastAsia" w:ascii="宋体" w:hAnsi="宋体" w:eastAsia="宋体"/>
                <w:sz w:val="24"/>
              </w:rPr>
            </w:pPr>
            <w:r>
              <w:rPr>
                <w:rFonts w:hint="eastAsia" w:ascii="仿宋_GB2312" w:hAnsi="仿宋_GB2312" w:eastAsia="仿宋_GB2312" w:cs="仿宋_GB2312"/>
                <w:sz w:val="24"/>
                <w:lang w:eastAsia="zh-CN"/>
              </w:rPr>
              <w:t xml:space="preserve"> 保障好全市预算单位财政系统。</w:t>
            </w:r>
          </w:p>
        </w:tc>
        <w:tc>
          <w:tcPr>
            <w:tcW w:w="3213" w:type="dxa"/>
            <w:vAlign w:val="top"/>
          </w:tcPr>
          <w:p>
            <w:pPr>
              <w:tabs>
                <w:tab w:val="left" w:pos="720"/>
                <w:tab w:val="left" w:pos="3600"/>
              </w:tabs>
              <w:spacing w:line="578" w:lineRule="exact"/>
              <w:jc w:val="center"/>
              <w:rPr>
                <w:rFonts w:hint="eastAsia" w:ascii="宋体" w:hAnsi="宋体" w:eastAsia="宋体"/>
                <w:sz w:val="24"/>
              </w:rPr>
            </w:pPr>
            <w:r>
              <w:rPr>
                <w:rFonts w:hint="eastAsia" w:ascii="仿宋_GB2312" w:hAnsi="仿宋_GB2312" w:eastAsia="仿宋_GB2312" w:cs="仿宋_GB2312"/>
                <w:sz w:val="24"/>
                <w:lang w:eastAsia="zh-CN"/>
              </w:rPr>
              <w:t>海口市财政信息管理系统运维和技术支撑服务。包括系统安装及现场技术服务，提供所服务的系统项目在应用地区的安装部署、程序升级等现场技术支持。确保系统应用功能支撑业务管理需要。业务数据维护服务，指业务系统的日常数据维护及备份等管理。业务操作指导，指导各地区财政部门及单位进行业务应用操作指导，做好业务操作人员做好相关数据的录入、输入及报表设置打印等技术与业务支持工作。培训与咨询，向应用服务地区的财政部门及相关预算单位提供培训指导及咨询服务，包括热线电话及远程技术支持。</w:t>
            </w:r>
          </w:p>
        </w:tc>
        <w:tc>
          <w:tcPr>
            <w:tcW w:w="861"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90%-100%</w:t>
            </w:r>
          </w:p>
        </w:tc>
        <w:tc>
          <w:tcPr>
            <w:tcW w:w="1018"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80%-90%</w:t>
            </w:r>
          </w:p>
        </w:tc>
        <w:tc>
          <w:tcPr>
            <w:tcW w:w="971"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70%-80%</w:t>
            </w:r>
          </w:p>
        </w:tc>
        <w:tc>
          <w:tcPr>
            <w:tcW w:w="818" w:type="dxa"/>
            <w:vAlign w:val="top"/>
          </w:tcPr>
          <w:p>
            <w:pPr>
              <w:tabs>
                <w:tab w:val="left" w:pos="720"/>
                <w:tab w:val="left" w:pos="3600"/>
              </w:tabs>
              <w:spacing w:line="578" w:lineRule="exact"/>
              <w:jc w:val="center"/>
              <w:rPr>
                <w:rFonts w:hint="eastAsia" w:ascii="宋体" w:hAnsi="宋体" w:eastAsia="宋体"/>
                <w:sz w:val="21"/>
                <w:szCs w:val="21"/>
              </w:rPr>
            </w:pPr>
            <w:r>
              <w:rPr>
                <w:rFonts w:hint="eastAsia" w:ascii="宋体" w:hAnsi="宋体"/>
                <w:color w:val="000000" w:themeColor="text1"/>
                <w:sz w:val="24"/>
                <w:lang w:val="en-US" w:eastAsia="zh-CN"/>
                <w14:textFill>
                  <w14:solidFill>
                    <w14:schemeClr w14:val="tx1"/>
                  </w14:solidFill>
                </w14:textFill>
              </w:rPr>
              <w:t>70%以下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200" w:type="dxa"/>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p>
        </w:tc>
        <w:tc>
          <w:tcPr>
            <w:tcW w:w="3213" w:type="dxa"/>
            <w:vAlign w:val="top"/>
          </w:tcPr>
          <w:p>
            <w:pPr>
              <w:tabs>
                <w:tab w:val="left" w:pos="720"/>
                <w:tab w:val="left" w:pos="3600"/>
              </w:tabs>
              <w:spacing w:line="578" w:lineRule="exact"/>
              <w:jc w:val="center"/>
              <w:rPr>
                <w:rFonts w:hint="eastAsia" w:ascii="宋体" w:hAnsi="宋体" w:eastAsia="宋体"/>
                <w:sz w:val="24"/>
              </w:rPr>
            </w:pPr>
          </w:p>
        </w:tc>
        <w:tc>
          <w:tcPr>
            <w:tcW w:w="861" w:type="dxa"/>
            <w:vAlign w:val="top"/>
          </w:tcPr>
          <w:p>
            <w:pPr>
              <w:tabs>
                <w:tab w:val="left" w:pos="720"/>
                <w:tab w:val="left" w:pos="3600"/>
              </w:tabs>
              <w:spacing w:line="578" w:lineRule="exact"/>
              <w:jc w:val="center"/>
              <w:rPr>
                <w:rFonts w:hint="eastAsia" w:ascii="宋体" w:hAnsi="宋体" w:eastAsia="宋体"/>
                <w:sz w:val="24"/>
              </w:rPr>
            </w:pPr>
          </w:p>
        </w:tc>
        <w:tc>
          <w:tcPr>
            <w:tcW w:w="1018" w:type="dxa"/>
            <w:vAlign w:val="top"/>
          </w:tcPr>
          <w:p>
            <w:pPr>
              <w:tabs>
                <w:tab w:val="left" w:pos="720"/>
                <w:tab w:val="left" w:pos="3600"/>
              </w:tabs>
              <w:spacing w:line="578" w:lineRule="exact"/>
              <w:jc w:val="center"/>
              <w:rPr>
                <w:rFonts w:hint="eastAsia" w:ascii="宋体" w:hAnsi="宋体" w:eastAsia="宋体"/>
                <w:sz w:val="24"/>
              </w:rPr>
            </w:pPr>
          </w:p>
        </w:tc>
        <w:tc>
          <w:tcPr>
            <w:tcW w:w="971" w:type="dxa"/>
            <w:vAlign w:val="top"/>
          </w:tcPr>
          <w:p>
            <w:pPr>
              <w:tabs>
                <w:tab w:val="left" w:pos="720"/>
                <w:tab w:val="left" w:pos="3600"/>
              </w:tabs>
              <w:spacing w:line="578" w:lineRule="exact"/>
              <w:jc w:val="center"/>
              <w:rPr>
                <w:rFonts w:hint="eastAsia" w:ascii="宋体" w:hAnsi="宋体" w:eastAsia="宋体"/>
                <w:sz w:val="24"/>
              </w:rPr>
            </w:pPr>
          </w:p>
        </w:tc>
        <w:tc>
          <w:tcPr>
            <w:tcW w:w="818"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8"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200"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 xml:space="preserve">  ……</w:t>
            </w:r>
          </w:p>
        </w:tc>
        <w:tc>
          <w:tcPr>
            <w:tcW w:w="3213" w:type="dxa"/>
            <w:vAlign w:val="top"/>
          </w:tcPr>
          <w:p>
            <w:pPr>
              <w:tabs>
                <w:tab w:val="left" w:pos="720"/>
                <w:tab w:val="left" w:pos="3600"/>
              </w:tabs>
              <w:spacing w:line="578" w:lineRule="exact"/>
              <w:jc w:val="center"/>
              <w:rPr>
                <w:rFonts w:hint="eastAsia" w:ascii="宋体" w:hAnsi="宋体" w:eastAsia="宋体"/>
                <w:sz w:val="24"/>
              </w:rPr>
            </w:pPr>
          </w:p>
        </w:tc>
        <w:tc>
          <w:tcPr>
            <w:tcW w:w="861" w:type="dxa"/>
            <w:vAlign w:val="top"/>
          </w:tcPr>
          <w:p>
            <w:pPr>
              <w:tabs>
                <w:tab w:val="left" w:pos="720"/>
                <w:tab w:val="left" w:pos="3600"/>
              </w:tabs>
              <w:spacing w:line="578" w:lineRule="exact"/>
              <w:jc w:val="center"/>
              <w:rPr>
                <w:rFonts w:hint="eastAsia" w:ascii="宋体" w:hAnsi="宋体" w:eastAsia="宋体"/>
                <w:sz w:val="24"/>
              </w:rPr>
            </w:pPr>
          </w:p>
        </w:tc>
        <w:tc>
          <w:tcPr>
            <w:tcW w:w="1018" w:type="dxa"/>
            <w:vAlign w:val="top"/>
          </w:tcPr>
          <w:p>
            <w:pPr>
              <w:tabs>
                <w:tab w:val="left" w:pos="720"/>
                <w:tab w:val="left" w:pos="3600"/>
              </w:tabs>
              <w:spacing w:line="578" w:lineRule="exact"/>
              <w:jc w:val="center"/>
              <w:rPr>
                <w:rFonts w:hint="eastAsia" w:ascii="宋体" w:hAnsi="宋体" w:eastAsia="宋体"/>
                <w:sz w:val="24"/>
              </w:rPr>
            </w:pPr>
          </w:p>
        </w:tc>
        <w:tc>
          <w:tcPr>
            <w:tcW w:w="971" w:type="dxa"/>
            <w:vAlign w:val="top"/>
          </w:tcPr>
          <w:p>
            <w:pPr>
              <w:tabs>
                <w:tab w:val="left" w:pos="720"/>
                <w:tab w:val="left" w:pos="3600"/>
              </w:tabs>
              <w:spacing w:line="578" w:lineRule="exact"/>
              <w:jc w:val="center"/>
              <w:rPr>
                <w:rFonts w:hint="eastAsia" w:ascii="宋体" w:hAnsi="宋体" w:eastAsia="宋体"/>
                <w:sz w:val="24"/>
              </w:rPr>
            </w:pPr>
          </w:p>
        </w:tc>
        <w:tc>
          <w:tcPr>
            <w:tcW w:w="818" w:type="dxa"/>
            <w:vAlign w:val="top"/>
          </w:tcPr>
          <w:p>
            <w:pPr>
              <w:tabs>
                <w:tab w:val="left" w:pos="720"/>
                <w:tab w:val="left" w:pos="3600"/>
              </w:tabs>
              <w:spacing w:line="578" w:lineRule="exact"/>
              <w:jc w:val="center"/>
              <w:rPr>
                <w:rFonts w:hint="eastAsia" w:ascii="宋体" w:hAnsi="宋体" w:eastAsia="宋体"/>
                <w:sz w:val="24"/>
              </w:rPr>
            </w:pPr>
          </w:p>
        </w:tc>
      </w:tr>
    </w:tbl>
    <w:p>
      <w:pPr/>
      <w:r>
        <w:rPr>
          <w:rFonts w:hint="eastAsia" w:ascii="宋体" w:hAnsi="宋体"/>
          <w:sz w:val="24"/>
          <w:szCs w:val="24"/>
        </w:rPr>
        <w:t xml:space="preserve">    注：以预算批复的绩效目标为准填列</w:t>
      </w:r>
    </w:p>
    <w:p>
      <w:pPr/>
    </w:p>
    <w:p>
      <w:pPr/>
    </w:p>
    <w:p>
      <w:pPr/>
    </w:p>
    <w:p>
      <w:pPr/>
    </w:p>
    <w:p>
      <w:pPr/>
    </w:p>
    <w:p>
      <w:pPr/>
    </w:p>
    <w:p>
      <w:pPr/>
    </w:p>
    <w:p>
      <w:pPr/>
    </w:p>
    <w:p>
      <w:pPr/>
    </w:p>
    <w:p>
      <w:pPr/>
    </w:p>
    <w:p>
      <w:pPr/>
    </w:p>
    <w:p>
      <w:pPr/>
    </w:p>
    <w:p>
      <w:pPr/>
    </w:p>
    <w:p>
      <w:pPr/>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1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87"/>
        <w:gridCol w:w="687"/>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76"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海口市财政信息中心</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蓝娟娟</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海口市长滨一路行政办公区</w:t>
            </w:r>
            <w:r>
              <w:rPr>
                <w:rFonts w:hint="eastAsia" w:ascii="宋体" w:hAnsi="宋体"/>
                <w:sz w:val="21"/>
                <w:szCs w:val="21"/>
                <w:lang w:val="en-US" w:eastAsia="zh-CN"/>
              </w:rPr>
              <w:t>10号楼</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570135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00"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180</w:t>
            </w:r>
          </w:p>
        </w:tc>
        <w:tc>
          <w:tcPr>
            <w:tcW w:w="185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687"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180</w:t>
            </w:r>
          </w:p>
        </w:tc>
        <w:tc>
          <w:tcPr>
            <w:tcW w:w="1711"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85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687"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85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687"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180</w:t>
            </w:r>
          </w:p>
        </w:tc>
        <w:tc>
          <w:tcPr>
            <w:tcW w:w="185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687" w:type="dxa"/>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180</w:t>
            </w: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850"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687"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bCs/>
                <w:color w:val="00000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蓝娟娟</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主任</w:t>
            </w:r>
          </w:p>
        </w:tc>
        <w:tc>
          <w:tcPr>
            <w:tcW w:w="2598"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海口市财政信息中心</w:t>
            </w:r>
          </w:p>
        </w:tc>
        <w:tc>
          <w:tcPr>
            <w:tcW w:w="1263" w:type="dxa"/>
            <w:gridSpan w:val="3"/>
            <w:vAlign w:val="center"/>
          </w:tcPr>
          <w:p>
            <w:pPr>
              <w:spacing w:line="300" w:lineRule="exact"/>
              <w:jc w:val="center"/>
              <w:rPr>
                <w:rFonts w:hint="default" w:ascii="宋体" w:hAnsi="宋体"/>
                <w:sz w:val="21"/>
                <w:szCs w:val="21"/>
                <w:lang w:val="en-US" w:eastAsia="zh-CN"/>
              </w:rPr>
            </w:pPr>
            <w:r>
              <w:rPr>
                <w:rFonts w:hint="eastAsia" w:ascii="宋体" w:hAnsi="宋体"/>
                <w:sz w:val="21"/>
                <w:szCs w:val="21"/>
                <w:lang w:val="en-US" w:eastAsia="zh-CN"/>
              </w:rPr>
              <w:t>98</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吴淑诚</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科员</w:t>
            </w:r>
          </w:p>
        </w:tc>
        <w:tc>
          <w:tcPr>
            <w:tcW w:w="2598"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海口市财政信息中心</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sz w:val="21"/>
                <w:szCs w:val="21"/>
                <w:lang w:eastAsia="zh-CN"/>
              </w:rPr>
            </w:pPr>
            <w:r>
              <w:rPr>
                <w:rFonts w:hint="eastAsia" w:ascii="宋体" w:hAnsi="宋体"/>
                <w:sz w:val="21"/>
                <w:szCs w:val="21"/>
                <w:lang w:eastAsia="zh-CN"/>
              </w:rPr>
              <w:t>简赞丽</w:t>
            </w:r>
          </w:p>
        </w:tc>
        <w:tc>
          <w:tcPr>
            <w:tcW w:w="1557" w:type="dxa"/>
            <w:gridSpan w:val="4"/>
            <w:vAlign w:val="center"/>
          </w:tcPr>
          <w:p>
            <w:pPr>
              <w:spacing w:line="300" w:lineRule="exact"/>
              <w:jc w:val="center"/>
              <w:rPr>
                <w:rFonts w:hint="eastAsia" w:ascii="宋体" w:hAnsi="宋体"/>
                <w:sz w:val="21"/>
                <w:szCs w:val="21"/>
                <w:lang w:eastAsia="zh-CN"/>
              </w:rPr>
            </w:pPr>
            <w:r>
              <w:rPr>
                <w:rFonts w:hint="eastAsia" w:ascii="宋体" w:hAnsi="宋体"/>
                <w:sz w:val="21"/>
                <w:szCs w:val="21"/>
                <w:lang w:eastAsia="zh-CN"/>
              </w:rPr>
              <w:t>报账员</w:t>
            </w:r>
          </w:p>
        </w:tc>
        <w:tc>
          <w:tcPr>
            <w:tcW w:w="2598" w:type="dxa"/>
            <w:gridSpan w:val="6"/>
            <w:vAlign w:val="center"/>
          </w:tcPr>
          <w:p>
            <w:pPr>
              <w:spacing w:line="300" w:lineRule="exact"/>
              <w:jc w:val="center"/>
              <w:rPr>
                <w:rFonts w:hint="eastAsia" w:ascii="宋体" w:hAnsi="宋体"/>
                <w:sz w:val="21"/>
                <w:szCs w:val="21"/>
                <w:lang w:eastAsia="zh-CN"/>
              </w:rPr>
            </w:pPr>
            <w:r>
              <w:rPr>
                <w:rFonts w:hint="eastAsia" w:ascii="宋体" w:hAnsi="宋体"/>
                <w:sz w:val="21"/>
                <w:szCs w:val="21"/>
                <w:lang w:eastAsia="zh-CN"/>
              </w:rPr>
              <w:t>海口市财政局</w:t>
            </w:r>
          </w:p>
        </w:tc>
        <w:tc>
          <w:tcPr>
            <w:tcW w:w="1263" w:type="dxa"/>
            <w:gridSpan w:val="3"/>
            <w:vAlign w:val="center"/>
          </w:tcPr>
          <w:p>
            <w:pPr>
              <w:spacing w:line="300" w:lineRule="exact"/>
              <w:jc w:val="center"/>
              <w:rPr>
                <w:rFonts w:hint="eastAsia" w:ascii="宋体" w:hAnsi="宋体"/>
                <w:sz w:val="21"/>
                <w:szCs w:val="21"/>
                <w:lang w:val="en-US" w:eastAsia="zh-CN"/>
              </w:rPr>
            </w:pPr>
            <w:r>
              <w:rPr>
                <w:rFonts w:hint="eastAsia" w:ascii="宋体" w:hAnsi="宋体"/>
                <w:sz w:val="21"/>
                <w:szCs w:val="21"/>
                <w:lang w:val="en-US" w:eastAsia="zh-CN"/>
              </w:rPr>
              <w:t>98</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740"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p>
            <w:pPr>
              <w:spacing w:line="300" w:lineRule="exact"/>
              <w:jc w:val="center"/>
              <w:rPr>
                <w:rFonts w:hint="eastAsia" w:ascii="宋体" w:hAnsi="宋体" w:eastAsia="宋体"/>
                <w:sz w:val="21"/>
                <w:szCs w:val="21"/>
              </w:rPr>
            </w:pPr>
          </w:p>
        </w:tc>
      </w:tr>
    </w:tbl>
    <w:p>
      <w:pPr/>
    </w:p>
    <w:p>
      <w:pPr>
        <w:spacing w:line="578" w:lineRule="exact"/>
        <w:jc w:val="left"/>
        <w:rPr>
          <w:rFonts w:hint="eastAsia" w:hAnsi="仿宋_GB2312" w:cs="仿宋_GB2312"/>
          <w:b/>
          <w:bCs/>
          <w:color w:val="000000"/>
          <w:szCs w:val="32"/>
        </w:rPr>
      </w:pPr>
    </w:p>
    <w:p>
      <w:pPr>
        <w:spacing w:line="578" w:lineRule="exact"/>
        <w:jc w:val="left"/>
        <w:rPr>
          <w:rFonts w:hint="eastAsia" w:hAnsi="仿宋_GB2312" w:cs="仿宋_GB2312"/>
          <w:b/>
          <w:bCs/>
          <w:color w:val="000000"/>
          <w:szCs w:val="32"/>
        </w:rPr>
      </w:pPr>
    </w:p>
    <w:p>
      <w:pPr>
        <w:spacing w:line="578" w:lineRule="exact"/>
        <w:jc w:val="left"/>
        <w:rPr>
          <w:rFonts w:hint="eastAsia" w:hAnsi="仿宋_GB2312" w:cs="仿宋_GB2312"/>
          <w:b/>
          <w:bCs/>
          <w:color w:val="000000"/>
          <w:szCs w:val="32"/>
        </w:rPr>
      </w:pPr>
    </w:p>
    <w:p>
      <w:pPr>
        <w:spacing w:line="578" w:lineRule="exact"/>
        <w:jc w:val="left"/>
        <w:rPr>
          <w:rFonts w:hint="eastAsia" w:hAnsi="仿宋_GB2312" w:cs="仿宋_GB2312"/>
          <w:b/>
          <w:bCs/>
          <w:color w:val="000000"/>
          <w:szCs w:val="32"/>
        </w:rPr>
      </w:pPr>
    </w:p>
    <w:p>
      <w:pPr>
        <w:spacing w:line="578" w:lineRule="exact"/>
        <w:jc w:val="left"/>
        <w:rPr>
          <w:rFonts w:hint="eastAsia" w:hAnsi="仿宋_GB2312" w:cs="仿宋_GB2312"/>
          <w:b/>
          <w:bCs/>
          <w:color w:val="000000"/>
          <w:szCs w:val="32"/>
        </w:rPr>
      </w:pPr>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outlineLvl w:val="0"/>
        <w:rPr>
          <w:rFonts w:hint="eastAsia"/>
          <w:color w:val="000000"/>
        </w:rPr>
      </w:pPr>
    </w:p>
    <w:p>
      <w:pPr>
        <w:numPr>
          <w:ilvl w:val="0"/>
          <w:numId w:val="1"/>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项目概况</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海口市财政信息中心为正科级全额拨款事业单位，隶属海口市财政局。</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工作职责：</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(一)负责制定并组织实施财政信息化建设的规划、制度和办法。</w:t>
      </w:r>
      <w:r>
        <w:rPr>
          <w:rFonts w:hint="default" w:ascii="仿宋_GB2312" w:hAnsi="仿宋_GB2312" w:eastAsia="仿宋_GB2312" w:cs="仿宋_GB2312"/>
          <w:bCs/>
          <w:sz w:val="28"/>
          <w:szCs w:val="28"/>
          <w:lang w:val="en-US" w:eastAsia="zh-CN"/>
        </w:rPr>
        <w:t xml:space="preserve"> </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 xml:space="preserve">(二)负责市财政局域网的管理及系统维护。 </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 xml:space="preserve">(三)负责财政信息资源开发、数据库建设、信息服务及信息技术人员的培训工作。 </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 xml:space="preserve">(四)负责办公自动化建设和计算机网络系统的安全保密等工作。 </w:t>
      </w:r>
    </w:p>
    <w:p>
      <w:pPr>
        <w:spacing w:line="578" w:lineRule="exact"/>
        <w:ind w:firstLine="560" w:firstLineChars="200"/>
        <w:outlineLvl w:val="0"/>
        <w:rPr>
          <w:rFonts w:hint="eastAsia" w:ascii="仿宋_GB2312" w:hAnsi="仿宋_GB2312" w:eastAsia="仿宋_GB2312" w:cs="仿宋_GB2312"/>
          <w:bCs/>
          <w:color w:val="FF0000"/>
          <w:sz w:val="28"/>
          <w:szCs w:val="28"/>
          <w:lang w:val="en-US" w:eastAsia="zh-CN"/>
        </w:rPr>
      </w:pPr>
      <w:r>
        <w:rPr>
          <w:rFonts w:hint="default" w:ascii="仿宋_GB2312" w:hAnsi="仿宋_GB2312" w:eastAsia="仿宋_GB2312" w:cs="仿宋_GB2312"/>
          <w:bCs/>
          <w:sz w:val="28"/>
          <w:szCs w:val="28"/>
          <w:lang w:val="en-US" w:eastAsia="zh-CN"/>
        </w:rPr>
        <w:t>(五)完成上级主管部门交办的其他工作。</w:t>
      </w:r>
    </w:p>
    <w:p>
      <w:pPr>
        <w:spacing w:line="578" w:lineRule="exact"/>
        <w:ind w:firstLine="600" w:firstLineChars="2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（一）项目基本性质、用途和主要内容</w:t>
      </w:r>
    </w:p>
    <w:p>
      <w:pPr>
        <w:spacing w:line="578" w:lineRule="exact"/>
        <w:ind w:firstLine="560" w:firstLineChars="20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信息系统运行维护属于非跨年度经常性项目，它主要用于承担海口市财政局现有业务系统、计算机网络系统和局机关终端系统日常的现场运行维护和技术支撑保障等工作，确保各信息系统稳定运行。</w:t>
      </w:r>
    </w:p>
    <w:p>
      <w:pPr>
        <w:spacing w:line="578" w:lineRule="exact"/>
        <w:ind w:firstLine="600" w:firstLineChars="2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（二）项目绩效目标</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28"/>
          <w:szCs w:val="28"/>
          <w:lang w:val="en-US" w:eastAsia="zh-CN"/>
        </w:rPr>
        <w:t>信息系统运行维护属于非跨年度经常性项目</w:t>
      </w:r>
    </w:p>
    <w:p>
      <w:pPr>
        <w:spacing w:line="578" w:lineRule="exact"/>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0"/>
          <w:szCs w:val="30"/>
        </w:rPr>
        <w:t>二、</w:t>
      </w:r>
      <w:r>
        <w:rPr>
          <w:rFonts w:hint="eastAsia" w:ascii="仿宋_GB2312" w:hAnsi="仿宋_GB2312" w:eastAsia="仿宋_GB2312" w:cs="仿宋_GB2312"/>
          <w:bCs/>
          <w:color w:val="000000"/>
          <w:sz w:val="30"/>
          <w:szCs w:val="30"/>
        </w:rPr>
        <w:t>项目资金使用及管理情况</w:t>
      </w:r>
    </w:p>
    <w:p>
      <w:pPr>
        <w:spacing w:line="578" w:lineRule="exact"/>
        <w:ind w:firstLine="600" w:firstLineChars="200"/>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30"/>
          <w:szCs w:val="30"/>
        </w:rPr>
        <w:t>（一）项目资金到位情况分析</w:t>
      </w:r>
      <w:r>
        <w:rPr>
          <w:rFonts w:hint="eastAsia" w:ascii="仿宋_GB2312" w:hAnsi="仿宋_GB2312" w:eastAsia="仿宋_GB2312" w:cs="仿宋_GB2312"/>
          <w:bCs/>
          <w:color w:val="000000"/>
          <w:sz w:val="30"/>
          <w:szCs w:val="30"/>
        </w:rPr>
        <w:t>（包括财政资金、自筹资金等）</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28"/>
          <w:szCs w:val="28"/>
          <w:lang w:val="en-US" w:eastAsia="zh-CN"/>
        </w:rPr>
        <w:t>信息系统运行维护项目2019年经费预算180万元，该项目资金已在当年由市财政局下达本单位，共计180万元，该项目为财政拨款资金，列入一般公共预算。</w:t>
      </w:r>
    </w:p>
    <w:p>
      <w:pPr>
        <w:numPr>
          <w:ilvl w:val="0"/>
          <w:numId w:val="2"/>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截止2019年底，信息系统运行维护已使用资金140.54万元，剩余39.46万元，完成预算的78.08%。</w:t>
      </w:r>
    </w:p>
    <w:p>
      <w:pPr>
        <w:numPr>
          <w:ilvl w:val="0"/>
          <w:numId w:val="2"/>
        </w:numPr>
        <w:spacing w:line="578" w:lineRule="exact"/>
        <w:ind w:left="0" w:leftChars="0"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30"/>
          <w:szCs w:val="30"/>
        </w:rPr>
        <w:t>项目资金管理情况分析</w:t>
      </w:r>
      <w:r>
        <w:rPr>
          <w:rFonts w:hint="eastAsia" w:ascii="仿宋_GB2312" w:hAnsi="仿宋_GB2312" w:eastAsia="仿宋_GB2312" w:cs="仿宋_GB2312"/>
          <w:bCs/>
          <w:color w:val="000000"/>
          <w:sz w:val="30"/>
          <w:szCs w:val="30"/>
        </w:rPr>
        <w:t>（包括管理制度、办法的制订及执行情况等）</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项目资金拨付严格审批程序，使用规范，会计核算结果真实、准确。此次绩效评价过程中未发现有截留、挤占或挪用项目资金的情况。</w:t>
      </w:r>
    </w:p>
    <w:p>
      <w:pPr>
        <w:spacing w:line="578" w:lineRule="exact"/>
        <w:ind w:firstLine="600" w:firstLineChars="2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三、项目组织实施情况</w:t>
      </w:r>
    </w:p>
    <w:p>
      <w:pPr>
        <w:spacing w:line="578" w:lineRule="exact"/>
        <w:ind w:firstLine="600" w:firstLineChars="200"/>
        <w:outlineLvl w:val="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（一）项目组织情况分析（包括项目招投标情况、调整情况、完成验收等）</w:t>
      </w:r>
    </w:p>
    <w:p>
      <w:pPr>
        <w:spacing w:line="578" w:lineRule="exact"/>
        <w:ind w:firstLine="640"/>
        <w:outlineLvl w:val="0"/>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该项目属于经常性项目，没有存在整体项目招投标情况，截止2019年底，项目无调整情况。</w:t>
      </w:r>
    </w:p>
    <w:p>
      <w:pPr>
        <w:spacing w:line="578" w:lineRule="exact"/>
        <w:ind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（二）项目管理情况分析（包括项目管理制度建设、日常检查监督管理等情况）</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根据国家、省市相关规定和财务管理内控制度，对项目经费支出严格管理，不以任何理由虚列、截留、挤占、挪用，也不超标准开支，资金支出严格按照财务规定执行。</w:t>
      </w:r>
    </w:p>
    <w:p>
      <w:pPr>
        <w:spacing w:line="578" w:lineRule="exact"/>
        <w:ind w:firstLine="600" w:firstLineChars="200"/>
        <w:outlineLvl w:val="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四、项目绩效情况</w:t>
      </w:r>
    </w:p>
    <w:p>
      <w:pPr>
        <w:spacing w:line="578" w:lineRule="exact"/>
        <w:ind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（1）项目成本（预算）控制情况</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信息系统运行维护项目2019年预算金额180万元，于当年支出140.54万元，项目实施过程中严格按照项目预算科目及有关政策规定进行支付，项目总体未超支。</w:t>
      </w:r>
    </w:p>
    <w:p>
      <w:pPr>
        <w:numPr>
          <w:ilvl w:val="0"/>
          <w:numId w:val="3"/>
        </w:num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项目成本（预算）节约情况</w:t>
      </w:r>
    </w:p>
    <w:p>
      <w:pPr>
        <w:spacing w:line="578" w:lineRule="exact"/>
        <w:ind w:firstLine="64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28"/>
          <w:szCs w:val="28"/>
          <w:lang w:val="en-US" w:eastAsia="zh-CN"/>
        </w:rPr>
        <w:t>项目预算严格按照标准执行，无超标准的情况且节余39.46万元。</w:t>
      </w:r>
    </w:p>
    <w:p>
      <w:pPr>
        <w:tabs>
          <w:tab w:val="left" w:pos="640"/>
        </w:tabs>
        <w:spacing w:line="578" w:lineRule="exact"/>
        <w:ind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 项目的效率性分析</w:t>
      </w:r>
    </w:p>
    <w:p>
      <w:p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（1）项目的实施进度</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根据项目运行方案，实施严格的项目管理。截止2019年底，信息系统运行维护项目2019年预算金额180万元，按进度付款于当年支出140.54万元，结余39.46万元，项目支出进度达到78.08%。</w:t>
      </w:r>
    </w:p>
    <w:p>
      <w:p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（2）项目完成质量</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根据项目运行方案，细化任务，合理配置资源，建立项目控制管理机制，规避项目风险，确保了整个项目的质量，项目完成质量较好。</w:t>
      </w:r>
    </w:p>
    <w:p>
      <w:pPr>
        <w:spacing w:line="578" w:lineRule="exact"/>
        <w:ind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 项目的</w:t>
      </w:r>
      <w:r>
        <w:rPr>
          <w:rFonts w:hint="eastAsia" w:ascii="仿宋_GB2312" w:hAnsi="仿宋_GB2312" w:eastAsia="仿宋_GB2312" w:cs="仿宋_GB2312"/>
          <w:sz w:val="30"/>
          <w:szCs w:val="30"/>
        </w:rPr>
        <w:t>效益性分析</w:t>
      </w:r>
    </w:p>
    <w:p>
      <w:p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（1）项目预期目标完成程度</w:t>
      </w:r>
    </w:p>
    <w:p>
      <w:pPr>
        <w:spacing w:line="578" w:lineRule="exact"/>
        <w:ind w:firstLine="64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28"/>
          <w:szCs w:val="28"/>
          <w:lang w:val="en-US" w:eastAsia="zh-CN"/>
        </w:rPr>
        <w:t>信息系统运行维护项目完成程度较好，基本完成预定预算目标。</w:t>
      </w:r>
    </w:p>
    <w:p>
      <w:pPr>
        <w:spacing w:line="578" w:lineRule="exact"/>
        <w:ind w:firstLine="600" w:firstLineChars="20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4. 项目的可持续性分析</w:t>
      </w:r>
    </w:p>
    <w:p>
      <w:pPr>
        <w:spacing w:line="578" w:lineRule="exact"/>
        <w:ind w:firstLine="640"/>
        <w:outlineLvl w:val="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sz w:val="28"/>
          <w:szCs w:val="28"/>
          <w:lang w:val="en-US" w:eastAsia="zh-CN"/>
        </w:rPr>
        <w:t>切实把信息系统运行维护项目作为一项常态常新的重要项目，项目经费列入年度财政预算，严格项目管理和支出，确保财政资金效益的最大化，实现项目的可持续性发展。</w:t>
      </w:r>
    </w:p>
    <w:p>
      <w:pPr>
        <w:spacing w:line="578" w:lineRule="exact"/>
        <w:ind w:firstLine="640"/>
        <w:outlineLvl w:val="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五、综合评价情况及评价结论</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28"/>
          <w:szCs w:val="28"/>
          <w:lang w:val="en-US" w:eastAsia="zh-CN"/>
        </w:rPr>
        <w:t>2019年度，我中心的信息系统运行维护项目在目标设定、决策过程、资金分配、资金到位、资金管理、组织实施、项目效果等方面落实情况较好、总自评分98分，评价等次为优。</w:t>
      </w:r>
    </w:p>
    <w:p>
      <w:pPr>
        <w:numPr>
          <w:ilvl w:val="0"/>
          <w:numId w:val="4"/>
        </w:numPr>
        <w:spacing w:line="578" w:lineRule="exact"/>
        <w:ind w:left="640" w:leftChars="0" w:firstLine="0" w:firstLineChars="0"/>
        <w:outlineLvl w:val="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主要经验及做法、存在的问题和建议</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28"/>
          <w:szCs w:val="28"/>
          <w:lang w:val="en-US" w:eastAsia="zh-CN"/>
        </w:rPr>
        <w:t>对于经常性项目，提前做好各部门预算计划，合理安排资金的使用及规范性管理，严格执行财务相关管理规定制度，对临时性需要增加或减少的项目做好合理计划和方案，确保每一分钱都用在实处。</w:t>
      </w:r>
    </w:p>
    <w:p>
      <w:pPr>
        <w:spacing w:line="578" w:lineRule="exact"/>
        <w:ind w:firstLine="600" w:firstLineChars="200"/>
        <w:outlineLvl w:val="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七、其他需说明的问题</w:t>
      </w:r>
    </w:p>
    <w:p>
      <w:pPr>
        <w:spacing w:line="578" w:lineRule="exact"/>
        <w:ind w:firstLine="640"/>
        <w:outlineLvl w:val="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无</w:t>
      </w:r>
      <w:bookmarkStart w:id="0" w:name="_GoBack"/>
      <w:bookmarkEnd w:id="0"/>
    </w:p>
    <w:sectPr>
      <w:pgSz w:w="11906" w:h="16838"/>
      <w:pgMar w:top="2098" w:right="1587" w:bottom="1984" w:left="1587"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312571">
    <w:nsid w:val="095123FB"/>
    <w:multiLevelType w:val="singleLevel"/>
    <w:tmpl w:val="095123FB"/>
    <w:lvl w:ilvl="0" w:tentative="1">
      <w:start w:val="2"/>
      <w:numFmt w:val="decimal"/>
      <w:suff w:val="nothing"/>
      <w:lvlText w:val="（%1）"/>
      <w:lvlJc w:val="left"/>
    </w:lvl>
  </w:abstractNum>
  <w:abstractNum w:abstractNumId="1680744070">
    <w:nsid w:val="642E1E86"/>
    <w:multiLevelType w:val="singleLevel"/>
    <w:tmpl w:val="642E1E86"/>
    <w:lvl w:ilvl="0" w:tentative="1">
      <w:start w:val="2"/>
      <w:numFmt w:val="chineseCounting"/>
      <w:suff w:val="nothing"/>
      <w:lvlText w:val="（%1）"/>
      <w:lvlJc w:val="left"/>
      <w:rPr>
        <w:rFonts w:hint="eastAsia"/>
      </w:rPr>
    </w:lvl>
  </w:abstractNum>
  <w:abstractNum w:abstractNumId="2721688775">
    <w:nsid w:val="A239ACC7"/>
    <w:multiLevelType w:val="singleLevel"/>
    <w:tmpl w:val="A239ACC7"/>
    <w:lvl w:ilvl="0" w:tentative="1">
      <w:start w:val="1"/>
      <w:numFmt w:val="chineseCounting"/>
      <w:suff w:val="nothing"/>
      <w:lvlText w:val="%1、"/>
      <w:lvlJc w:val="left"/>
      <w:rPr>
        <w:rFonts w:hint="eastAsia"/>
      </w:rPr>
    </w:lvl>
  </w:abstractNum>
  <w:abstractNum w:abstractNumId="4241044186">
    <w:nsid w:val="FCC932DA"/>
    <w:multiLevelType w:val="singleLevel"/>
    <w:tmpl w:val="FCC932DA"/>
    <w:lvl w:ilvl="0" w:tentative="1">
      <w:start w:val="6"/>
      <w:numFmt w:val="chineseCounting"/>
      <w:suff w:val="nothing"/>
      <w:lvlText w:val="%1、"/>
      <w:lvlJc w:val="left"/>
      <w:pPr>
        <w:ind w:left="640" w:leftChars="0" w:firstLine="0" w:firstLineChars="0"/>
      </w:pPr>
      <w:rPr>
        <w:rFonts w:hint="eastAsia"/>
      </w:rPr>
    </w:lvl>
  </w:abstractNum>
  <w:num w:numId="1">
    <w:abstractNumId w:val="2721688775"/>
  </w:num>
  <w:num w:numId="2">
    <w:abstractNumId w:val="1680744070"/>
  </w:num>
  <w:num w:numId="3">
    <w:abstractNumId w:val="156312571"/>
  </w:num>
  <w:num w:numId="4">
    <w:abstractNumId w:val="4241044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1DC195E"/>
    <w:rsid w:val="02CC4515"/>
    <w:rsid w:val="03160F61"/>
    <w:rsid w:val="03A01F26"/>
    <w:rsid w:val="043949C2"/>
    <w:rsid w:val="04A750EA"/>
    <w:rsid w:val="06FB755C"/>
    <w:rsid w:val="07E55CFF"/>
    <w:rsid w:val="0A0851E4"/>
    <w:rsid w:val="0BC65406"/>
    <w:rsid w:val="0C4C732B"/>
    <w:rsid w:val="0C7E27F1"/>
    <w:rsid w:val="0CE22F77"/>
    <w:rsid w:val="0F1C0EC1"/>
    <w:rsid w:val="0F317C2C"/>
    <w:rsid w:val="0F5320C5"/>
    <w:rsid w:val="0FBD4B4B"/>
    <w:rsid w:val="118A73CA"/>
    <w:rsid w:val="13205264"/>
    <w:rsid w:val="14AB0A7A"/>
    <w:rsid w:val="161416B6"/>
    <w:rsid w:val="18FA4B2F"/>
    <w:rsid w:val="199D58C5"/>
    <w:rsid w:val="1A5937B1"/>
    <w:rsid w:val="1B2555BC"/>
    <w:rsid w:val="1C2F2A35"/>
    <w:rsid w:val="1C980CDC"/>
    <w:rsid w:val="1CA14B6B"/>
    <w:rsid w:val="1E212CD5"/>
    <w:rsid w:val="1F102967"/>
    <w:rsid w:val="210B27A1"/>
    <w:rsid w:val="21AF5EA5"/>
    <w:rsid w:val="259432D3"/>
    <w:rsid w:val="25DD2232"/>
    <w:rsid w:val="25FB703A"/>
    <w:rsid w:val="28206677"/>
    <w:rsid w:val="28442410"/>
    <w:rsid w:val="286B4776"/>
    <w:rsid w:val="28EE1C2E"/>
    <w:rsid w:val="28F57951"/>
    <w:rsid w:val="298515B1"/>
    <w:rsid w:val="2AE271E0"/>
    <w:rsid w:val="2C83081E"/>
    <w:rsid w:val="30D55EB0"/>
    <w:rsid w:val="31133CFB"/>
    <w:rsid w:val="326A54DD"/>
    <w:rsid w:val="34450B3B"/>
    <w:rsid w:val="351C0E86"/>
    <w:rsid w:val="361157FE"/>
    <w:rsid w:val="361A0ED0"/>
    <w:rsid w:val="371E07BE"/>
    <w:rsid w:val="37D34665"/>
    <w:rsid w:val="397C3567"/>
    <w:rsid w:val="39900D8F"/>
    <w:rsid w:val="3AB1393B"/>
    <w:rsid w:val="3D120428"/>
    <w:rsid w:val="3ED00D9A"/>
    <w:rsid w:val="3F5C0EDF"/>
    <w:rsid w:val="3FE65C37"/>
    <w:rsid w:val="405419AE"/>
    <w:rsid w:val="4088063A"/>
    <w:rsid w:val="40A572B4"/>
    <w:rsid w:val="432173AA"/>
    <w:rsid w:val="4400059A"/>
    <w:rsid w:val="44455C3B"/>
    <w:rsid w:val="464C30C7"/>
    <w:rsid w:val="49CE773D"/>
    <w:rsid w:val="4D8D436D"/>
    <w:rsid w:val="4EAF4FFC"/>
    <w:rsid w:val="4EC62C4A"/>
    <w:rsid w:val="4F113A01"/>
    <w:rsid w:val="4F3D59A0"/>
    <w:rsid w:val="52C97FBD"/>
    <w:rsid w:val="53346739"/>
    <w:rsid w:val="53B8665A"/>
    <w:rsid w:val="552F00D5"/>
    <w:rsid w:val="558A120B"/>
    <w:rsid w:val="56E65697"/>
    <w:rsid w:val="59C3635D"/>
    <w:rsid w:val="5AC926E5"/>
    <w:rsid w:val="5BA73ED6"/>
    <w:rsid w:val="5C3356F2"/>
    <w:rsid w:val="5C3A560A"/>
    <w:rsid w:val="5C67206A"/>
    <w:rsid w:val="5DD274AD"/>
    <w:rsid w:val="5E8651C0"/>
    <w:rsid w:val="5EDE7954"/>
    <w:rsid w:val="5FDB2233"/>
    <w:rsid w:val="6413388C"/>
    <w:rsid w:val="64B44907"/>
    <w:rsid w:val="65647AEE"/>
    <w:rsid w:val="65A2027A"/>
    <w:rsid w:val="67144D9F"/>
    <w:rsid w:val="6744378D"/>
    <w:rsid w:val="67E02F5A"/>
    <w:rsid w:val="69B4177A"/>
    <w:rsid w:val="6BBF0FCB"/>
    <w:rsid w:val="6D304CA6"/>
    <w:rsid w:val="6D950ACB"/>
    <w:rsid w:val="6FF11A8A"/>
    <w:rsid w:val="70DC7EFB"/>
    <w:rsid w:val="712A46ED"/>
    <w:rsid w:val="72473DCD"/>
    <w:rsid w:val="75E65231"/>
    <w:rsid w:val="76680C8E"/>
    <w:rsid w:val="77532212"/>
    <w:rsid w:val="782877DE"/>
    <w:rsid w:val="79776BA8"/>
    <w:rsid w:val="7C0F6675"/>
    <w:rsid w:val="7CAC1743"/>
    <w:rsid w:val="7FAC5D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7AB7"/>
      <w:u w:val="none"/>
    </w:rPr>
  </w:style>
  <w:style w:type="character" w:styleId="6">
    <w:name w:val="Emphasis"/>
    <w:basedOn w:val="3"/>
    <w:qFormat/>
    <w:uiPriority w:val="0"/>
  </w:style>
  <w:style w:type="character" w:styleId="7">
    <w:name w:val="HTML Definition"/>
    <w:basedOn w:val="3"/>
    <w:qFormat/>
    <w:uiPriority w:val="0"/>
    <w:rPr>
      <w:i/>
    </w:rPr>
  </w:style>
  <w:style w:type="character" w:styleId="8">
    <w:name w:val="Hyperlink"/>
    <w:basedOn w:val="3"/>
    <w:qFormat/>
    <w:uiPriority w:val="0"/>
    <w:rPr>
      <w:color w:val="337AB7"/>
      <w:u w:val="none"/>
    </w:rPr>
  </w:style>
  <w:style w:type="character" w:styleId="9">
    <w:name w:val="HTML Code"/>
    <w:basedOn w:val="3"/>
    <w:qFormat/>
    <w:uiPriority w:val="0"/>
    <w:rPr>
      <w:rFonts w:hint="default" w:ascii="Consolas" w:hAnsi="Consolas" w:eastAsia="Consolas" w:cs="Consolas"/>
      <w:color w:val="CA4440"/>
      <w:sz w:val="21"/>
      <w:szCs w:val="21"/>
      <w:shd w:val="clear" w:fill="F9F2F4"/>
    </w:rPr>
  </w:style>
  <w:style w:type="character" w:styleId="10">
    <w:name w:val="HTML Keyboard"/>
    <w:basedOn w:val="3"/>
    <w:qFormat/>
    <w:uiPriority w:val="0"/>
    <w:rPr>
      <w:rFonts w:ascii="Consolas" w:hAnsi="Consolas" w:eastAsia="Consolas" w:cs="Consolas"/>
      <w:color w:val="FFFFFF"/>
      <w:sz w:val="21"/>
      <w:szCs w:val="21"/>
      <w:shd w:val="clear" w:fill="333333"/>
    </w:rPr>
  </w:style>
  <w:style w:type="character" w:styleId="11">
    <w:name w:val="HTML Sample"/>
    <w:basedOn w:val="3"/>
    <w:qFormat/>
    <w:uiPriority w:val="0"/>
    <w:rPr>
      <w:rFonts w:hint="default" w:ascii="Consolas" w:hAnsi="Consolas" w:eastAsia="Consolas" w:cs="Consolas"/>
      <w:sz w:val="21"/>
      <w:szCs w:val="21"/>
    </w:rPr>
  </w:style>
  <w:style w:type="paragraph" w:customStyle="1" w:styleId="13">
    <w:name w:val="列出段落"/>
    <w:basedOn w:val="1"/>
    <w:qFormat/>
    <w:uiPriority w:val="0"/>
    <w:pPr>
      <w:spacing w:line="360" w:lineRule="auto"/>
      <w:ind w:firstLine="420" w:firstLineChars="200"/>
    </w:pPr>
    <w:rPr>
      <w:rFonts w:ascii="Calibri" w:hAnsi="Calibri" w:eastAsia="宋体"/>
      <w:sz w:val="28"/>
      <w:szCs w:val="22"/>
    </w:rPr>
  </w:style>
  <w:style w:type="character" w:customStyle="1" w:styleId="14">
    <w:name w:val="first-child"/>
    <w:basedOn w:val="3"/>
    <w:qFormat/>
    <w:uiPriority w:val="0"/>
  </w:style>
  <w:style w:type="character" w:customStyle="1" w:styleId="15">
    <w:name w:val="layui-layer-tabnow"/>
    <w:basedOn w:val="3"/>
    <w:qFormat/>
    <w:uiPriority w:val="0"/>
    <w:rPr>
      <w:bdr w:val="single" w:color="CCCCCC" w:sz="6" w:space="0"/>
      <w:shd w:val="clear" w:fill="FFFFFF"/>
    </w:rPr>
  </w:style>
  <w:style w:type="character" w:customStyle="1" w:styleId="16">
    <w:name w:val="label"/>
    <w:basedOn w:val="3"/>
    <w:qFormat/>
    <w:uiPriority w:val="0"/>
    <w:rPr>
      <w:color w:val="1AB394"/>
      <w:shd w:val="clear" w:fill="FFFFFF"/>
    </w:rPr>
  </w:style>
  <w:style w:type="character" w:customStyle="1" w:styleId="17">
    <w:name w:val="label1"/>
    <w:basedOn w:val="3"/>
    <w:qFormat/>
    <w:uiPriority w:val="0"/>
    <w:rPr>
      <w:color w:val="1CC09F"/>
      <w:shd w:val="clear" w:fill="FFFFFF"/>
    </w:rPr>
  </w:style>
  <w:style w:type="character" w:customStyle="1" w:styleId="18">
    <w:name w:val="label2"/>
    <w:basedOn w:val="3"/>
    <w:qFormat/>
    <w:uiPriority w:val="0"/>
  </w:style>
  <w:style w:type="character" w:customStyle="1" w:styleId="19">
    <w:name w:val="label3"/>
    <w:basedOn w:val="3"/>
    <w:qFormat/>
    <w:uiPriority w:val="0"/>
  </w:style>
  <w:style w:type="character" w:customStyle="1" w:styleId="20">
    <w:name w:val="hover11"/>
    <w:basedOn w:val="3"/>
    <w:qFormat/>
    <w:uiPriority w:val="0"/>
    <w:rPr>
      <w:shd w:val="clear" w:fill="EEEEEE"/>
    </w:rPr>
  </w:style>
  <w:style w:type="character" w:customStyle="1" w:styleId="21">
    <w:name w:val="active3"/>
    <w:basedOn w:val="3"/>
    <w:qFormat/>
    <w:uiPriority w:val="0"/>
    <w:rPr>
      <w:color w:val="FFFFFF"/>
      <w:shd w:val="clear" w:fill="337AB7"/>
    </w:rPr>
  </w:style>
  <w:style w:type="character" w:customStyle="1" w:styleId="22">
    <w:name w:val="old"/>
    <w:basedOn w:val="3"/>
    <w:qFormat/>
    <w:uiPriority w:val="0"/>
    <w:rPr>
      <w:color w:val="777777"/>
    </w:rPr>
  </w:style>
  <w:style w:type="character" w:customStyle="1" w:styleId="23">
    <w:name w:val="dtr-title"/>
    <w:basedOn w:val="3"/>
    <w:qFormat/>
    <w:uiPriority w:val="0"/>
    <w:rPr>
      <w:b/>
    </w:rPr>
  </w:style>
  <w:style w:type="character" w:customStyle="1" w:styleId="24">
    <w:name w:val="checkbox4"/>
    <w:basedOn w:val="3"/>
    <w:qFormat/>
    <w:uiPriority w:val="0"/>
  </w:style>
  <w:style w:type="character" w:customStyle="1" w:styleId="25">
    <w:name w:val="checkbox5"/>
    <w:basedOn w:val="3"/>
    <w:qFormat/>
    <w:uiPriority w:val="0"/>
  </w:style>
  <w:style w:type="character" w:customStyle="1" w:styleId="26">
    <w:name w:val="checkbox6"/>
    <w:basedOn w:val="3"/>
    <w:qFormat/>
    <w:uiPriority w:val="0"/>
  </w:style>
  <w:style w:type="character" w:customStyle="1" w:styleId="27">
    <w:name w:val="checkbox7"/>
    <w:basedOn w:val="3"/>
    <w:qFormat/>
    <w:uiPriority w:val="0"/>
  </w:style>
  <w:style w:type="character" w:customStyle="1" w:styleId="28">
    <w:name w:val="lbl2"/>
    <w:basedOn w:val="3"/>
    <w:qFormat/>
    <w:uiPriority w:val="0"/>
  </w:style>
  <w:style w:type="character" w:customStyle="1" w:styleId="29">
    <w:name w:val="size"/>
    <w:basedOn w:val="3"/>
    <w:qFormat/>
    <w:uiPriority w:val="0"/>
  </w:style>
  <w:style w:type="character" w:customStyle="1" w:styleId="30">
    <w:name w:val="del"/>
    <w:basedOn w:val="3"/>
    <w:qFormat/>
    <w:uiPriority w:val="0"/>
  </w:style>
  <w:style w:type="character" w:customStyle="1" w:styleId="31">
    <w:name w:val="active4"/>
    <w:basedOn w:val="3"/>
    <w:qFormat/>
    <w:uiPriority w:val="0"/>
    <w:rPr>
      <w:color w:val="FFFFFF"/>
      <w:shd w:val="clear" w:fill="337AB7"/>
    </w:rPr>
  </w:style>
  <w:style w:type="character" w:customStyle="1" w:styleId="32">
    <w:name w:val="cs_current"/>
    <w:basedOn w:val="3"/>
    <w:qFormat/>
    <w:uiPriority w:val="0"/>
    <w:rPr>
      <w:color w:val="999999"/>
      <w:sz w:val="21"/>
      <w:szCs w:val="21"/>
      <w:shd w:val="clear" w:fill="F5F5F5"/>
    </w:rPr>
  </w:style>
  <w:style w:type="character" w:customStyle="1" w:styleId="33">
    <w:name w:val="cs_disabled"/>
    <w:basedOn w:val="3"/>
    <w:qFormat/>
    <w:uiPriority w:val="0"/>
    <w:rPr>
      <w:color w:val="999999"/>
      <w:sz w:val="21"/>
      <w:szCs w:val="21"/>
    </w:rPr>
  </w:style>
  <w:style w:type="character" w:customStyle="1" w:styleId="34">
    <w:name w:val="txt1"/>
    <w:basedOn w:val="3"/>
    <w:qFormat/>
    <w:uiPriority w:val="0"/>
    <w:rPr>
      <w:sz w:val="45"/>
      <w:szCs w:val="45"/>
    </w:rPr>
  </w:style>
  <w:style w:type="character" w:customStyle="1" w:styleId="35">
    <w:name w:val="txt2"/>
    <w:basedOn w:val="3"/>
    <w:qFormat/>
    <w:uiPriority w:val="0"/>
    <w:rPr>
      <w:sz w:val="36"/>
      <w:szCs w:val="36"/>
    </w:rPr>
  </w:style>
  <w:style w:type="character" w:customStyle="1" w:styleId="36">
    <w:name w:val="txt3"/>
    <w:basedOn w:val="3"/>
    <w:qFormat/>
    <w:uiPriority w:val="0"/>
    <w:rPr>
      <w:sz w:val="36"/>
      <w:szCs w:val="36"/>
    </w:rPr>
  </w:style>
  <w:style w:type="character" w:customStyle="1" w:styleId="37">
    <w:name w:val="xubox_tabnow"/>
    <w:basedOn w:val="3"/>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xxzx</cp:lastModifiedBy>
  <cp:lastPrinted>2020-04-20T06:28:00Z</cp:lastPrinted>
  <dcterms:modified xsi:type="dcterms:W3CDTF">2020-04-21T01:10:08Z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