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b/>
          <w:bCs/>
          <w:sz w:val="52"/>
          <w:szCs w:val="52"/>
        </w:rPr>
      </w:pPr>
      <w:r>
        <w:rPr>
          <w:rFonts w:hint="eastAsia"/>
          <w:b/>
          <w:bCs/>
          <w:sz w:val="52"/>
          <w:szCs w:val="52"/>
          <w:lang w:val="en-US" w:eastAsia="zh-CN"/>
        </w:rPr>
        <w:t>2023</w:t>
      </w:r>
      <w:r>
        <w:rPr>
          <w:rFonts w:hint="eastAsia"/>
          <w:b/>
          <w:bCs/>
          <w:sz w:val="52"/>
          <w:szCs w:val="52"/>
        </w:rPr>
        <w:t>年</w:t>
      </w:r>
      <w:r>
        <w:rPr>
          <w:rFonts w:hint="eastAsia"/>
          <w:b/>
          <w:bCs/>
          <w:sz w:val="52"/>
          <w:szCs w:val="52"/>
          <w:lang w:eastAsia="zh-CN"/>
        </w:rPr>
        <w:t>海口市财政局</w:t>
      </w:r>
      <w:r>
        <w:rPr>
          <w:rFonts w:hint="eastAsia"/>
          <w:b/>
          <w:bCs/>
          <w:sz w:val="52"/>
          <w:szCs w:val="52"/>
          <w:lang w:val="en-US" w:eastAsia="zh-CN"/>
        </w:rPr>
        <w:t>(部门)</w:t>
      </w:r>
      <w:r>
        <w:rPr>
          <w:rFonts w:hint="eastAsia"/>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海口市财政局（部门）</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海口市财政局（部门）2023</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海口市财政局（部门）</w:t>
      </w:r>
      <w:r>
        <w:rPr>
          <w:rFonts w:hint="eastAsia" w:ascii="黑体" w:hAnsi="黑体" w:eastAsia="黑体"/>
          <w:sz w:val="32"/>
          <w:szCs w:val="32"/>
          <w:lang w:val="en-US" w:eastAsia="zh-CN"/>
        </w:rPr>
        <w:t>2023</w:t>
      </w:r>
      <w:r>
        <w:rPr>
          <w:rFonts w:hint="eastAsia" w:ascii="黑体" w:hAnsi="黑体" w:eastAsia="黑体"/>
          <w:sz w:val="32"/>
          <w:szCs w:val="32"/>
        </w:rPr>
        <w:t>年预算情况说明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海口市财政局部门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（一）负责拟订并组织实施本市财政、财务和会计管理相关政策法规和发展规划，研究提出本市推进中国（海南）自由贸易试验区、中国特色自由贸易港建设有关财政、财务和会计管理方面的意见和建议。</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负责管理市本级各项财政收支。组织编制市本级部门预决算，编制市本级政府预决算草案和预算调整草案，汇编本市预决算草案。组织制定经费开支标准、定额，负责审核批复部门（单位）的年度预决算。受市政府委托，向市人民代表大会报告海口市及市本级预算及其执行情况，向市人大常委会报告决算情况。负责市本级预决算公开。完善转移支付制度。</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负责政府非税收入管理。负责政府性基金管理，按规定管理行政事业性收费和财政票据。监督管理本市彩票市场，按规定管理彩票资金。负责保障性住房资金管理。负责土地成本性支出管理。负责住房补贴审核。负责财政供养单位的人员工资统一发放管理，会同有关部门制定本市公务员津贴补贴政策。</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（四）负责组织实施财政国库管理制度、国库集中收付制度，指导和监督市本级国库业务，按规定承担市本级财政资金账户和国库现金管理工作。负责拟订政府采购规章、制度并监督实施。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（五）负责提出本市税收政策建议，拟订财税收入计划，指导监督财税政策的贯彻和执行。</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负责拟订市本级行政事业单位国有资产管理规章制度，按规定管理市本级行政事业单位国有资产。承担市本级行政事业单位国有资产配置、使用和处置等事项审批工作。组织市本级行政事业单位资产产权登记、产权界定、资产清查、统计报告等工作。负责执法执勤车辆编制核定及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（七）负责审核和汇总编制本市国有资本经营预决算草案，拟定本市国有资本经营预算制度和方法，收取市本级企业国有资本收益。负责组织实施企业财务制度。负责民贸企业（税收政策优惠）的认定。</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（八）负责办理和监督市本级经济发展支出、政府性投资项目的财政拨款，参与拟订重点建设投资有关政策，制定本市基本建设财务制度。负责有关政策性补贴和专项储备资金财务管理工作。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（九）负责牵头审核并汇总编制本市社会保险基金预决算草案，会同有关部门拟订有关资金（基金）财务管理制度，承担社会保险基金财政监管工作。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（十）负责地方政府性债务管理。拟订海口市政府性债务管理制度，防范财政风险。负责创业小额担保贷款、农民小额贷款资金管理工作。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一）负责管理本市的会计工作，监督和规范会计行为，组织实施国家统一的会计制度，拟定本市会计工作管理细则和办法。负责集中支付的会计核算，报告、反映支付情况和有关会计资料，为预算执行分析提供信息。负责代理记账机构审批。依法管理资产评估有关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二）负责监督检查财税法规、政策的执行情况，反映财政收支管理中的重大问题。负责财政内部控制建设和管理工作。负责建立财政支出绩效评价体系，开展财政支出绩效评价工作。配合审计相关部门对预算收支情况进行监督检查。</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（十三）负责对所属事业单位贯彻执行党和国家的方针政策、法律法规和规章的情况进行监督检查，协同有关部门监管其非经营性国有资产。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（十四）指导各区财政工作。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（十五）完成市委、市政府和上级部门交办的其他任务。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（十六）职能转变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完善宏观调控体系，创新调控方式，构建发展规划、财政、金融等政策协调和工作协同机制，强化经济监测预测预警能力，建立健全重大问题研究和政策储备工作机制，增强宏观调控的前瞻性、针对性、协同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深化财税体制改革。加快建立现代财政制度，推进财政事权和支出责任划分改革，科学合理划分各级政府财政事权和支出责任，建立权责清晰、财力协调、区域均衡的市和区财政关系。完善转移支付制度，优化转移支付分类，规范转移支付项目，增强区级统筹能力。全面实施绩效管理，建立全面规范透明、标准科学、约束有力的预算制度。全面推行政府性基金和行政事业性收费清单管理，完善监督制度。深化税收制度改革。</w:t>
      </w:r>
    </w:p>
    <w:p>
      <w:pPr>
        <w:spacing w:beforeLines="0" w:afterLines="0" w:line="360" w:lineRule="auto"/>
        <w:ind w:left="0" w:leftChars="0" w:firstLine="640" w:firstLineChars="200"/>
        <w:jc w:val="both"/>
        <w:rPr>
          <w:rFonts w:hint="eastAsia" w:ascii="仿宋_GB2312" w:hAnsi="仿宋_GB2312" w:eastAsia="仿宋_GB2312" w:cs="仿宋_GB2312"/>
          <w:sz w:val="32"/>
          <w:szCs w:val="22"/>
        </w:rPr>
      </w:pPr>
      <w:r>
        <w:rPr>
          <w:rFonts w:hint="eastAsia" w:ascii="仿宋_GB2312" w:hAnsi="仿宋_GB2312" w:eastAsia="仿宋_GB2312" w:cs="仿宋_GB2312"/>
          <w:sz w:val="32"/>
        </w:rPr>
        <w:t>3．防范化解地方政府债务风险。规范举债融资机制，测算、分析、预警、严控和防范化解地方政府债务风险，着力防控隐性债务风险，提出违规举借隐性债务问责建议。</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4"/>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海口市财政国库支付局</w:t>
      </w:r>
    </w:p>
    <w:p>
      <w:pPr>
        <w:pStyle w:val="4"/>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海口市预算评审中心</w:t>
      </w:r>
    </w:p>
    <w:p>
      <w:pPr>
        <w:pStyle w:val="4"/>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海口市彩票管理中心</w:t>
      </w:r>
    </w:p>
    <w:p>
      <w:pPr>
        <w:pStyle w:val="4"/>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海口市政府与社会资本合作管理中心</w:t>
      </w:r>
    </w:p>
    <w:p>
      <w:pPr>
        <w:pStyle w:val="4"/>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海口市财政信息中心</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海口市财政局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海口市财政局</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关于海口市财政局（部门）</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7792.86</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0万元、 教育支出科学技术支出0万元、文化旅游体育与传媒支出0万元、社会保障和就业支出676.29万元、社会保险基金支出0万元、卫生健康支出478.1万元、节能环保支出0万元、城乡社区支出0万元、农林水支出0万元、交通运输支出0万元、资源勘探工业信息等支出0万元、商业服务业等支出0万元、金融支出0万元、援助其他地区支出0万元、自然资源海洋气象等支出0万元、住房保障支出333.15万元、粮油物资储备支出0万元、国有资本经营预算支出0万元、灾害防治及应急管理支出0万元、 预备费0万元、其他支出0万元、 转移性支出 债务还本支出0万元、债务付息支出0万元、债务发行费用支出0万元、 抗疫特别国债安排的支出0万元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1289.16</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是我局新增下属单位预算评审中心</w:t>
      </w:r>
      <w:r>
        <w:rPr>
          <w:rFonts w:hint="eastAsia" w:ascii="仿宋_GB2312" w:hAnsi="黑体" w:eastAsia="仿宋_GB2312"/>
          <w:sz w:val="32"/>
          <w:szCs w:val="32"/>
          <w:lang w:val="en-US" w:eastAsia="zh-CN"/>
        </w:rPr>
        <w:t>2023年预算收入</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7792.86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83.97</w:t>
      </w:r>
      <w:r>
        <w:rPr>
          <w:rFonts w:hint="eastAsia" w:ascii="仿宋_GB2312" w:hAnsi="黑体" w:eastAsia="仿宋_GB2312"/>
          <w:sz w:val="32"/>
          <w:szCs w:val="32"/>
        </w:rPr>
        <w:t>%； 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676.29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7.29</w:t>
      </w:r>
      <w:r>
        <w:rPr>
          <w:rFonts w:hint="eastAsia" w:ascii="仿宋_GB2312" w:hAnsi="黑体" w:eastAsia="仿宋_GB2312"/>
          <w:sz w:val="32"/>
          <w:szCs w:val="32"/>
        </w:rPr>
        <w:t>%； 卫生健康支出</w:t>
      </w:r>
      <w:r>
        <w:rPr>
          <w:rFonts w:hint="eastAsia" w:ascii="仿宋_GB2312" w:hAnsi="黑体" w:eastAsia="仿宋_GB2312"/>
          <w:sz w:val="32"/>
          <w:szCs w:val="32"/>
          <w:lang w:val="en-US" w:eastAsia="zh-CN"/>
        </w:rPr>
        <w:t>478.1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5.15</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333.15</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3.59%</w:t>
      </w:r>
      <w:r>
        <w:rPr>
          <w:rFonts w:hint="eastAsia" w:ascii="仿宋_GB2312" w:hAnsi="黑体" w:eastAsia="仿宋_GB2312"/>
          <w:sz w:val="32"/>
          <w:szCs w:val="32"/>
          <w:lang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3070.03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46.11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新增下属单位预算评审中心</w:t>
      </w:r>
      <w:r>
        <w:rPr>
          <w:rFonts w:hint="eastAsia" w:ascii="仿宋_GB2312" w:hAnsi="黑体" w:eastAsia="仿宋_GB2312"/>
          <w:sz w:val="32"/>
          <w:szCs w:val="32"/>
          <w:lang w:val="en-US" w:eastAsia="zh-CN"/>
        </w:rPr>
        <w:t>2023年预算收入</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4004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1118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新增下属单位预算评审中心</w:t>
      </w:r>
      <w:r>
        <w:rPr>
          <w:rFonts w:hint="eastAsia" w:ascii="仿宋_GB2312" w:hAnsi="黑体" w:eastAsia="仿宋_GB2312"/>
          <w:sz w:val="32"/>
          <w:szCs w:val="32"/>
          <w:lang w:val="en-US" w:eastAsia="zh-CN"/>
        </w:rPr>
        <w:t>2023年预算收入</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事务（款）信息化建设（项）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256</w:t>
      </w:r>
      <w:r>
        <w:rPr>
          <w:rFonts w:hint="eastAsia" w:ascii="仿宋_GB2312" w:hAnsi="黑体" w:eastAsia="仿宋_GB2312"/>
          <w:sz w:val="32"/>
          <w:szCs w:val="32"/>
        </w:rPr>
        <w:t>万元，</w:t>
      </w:r>
      <w:r>
        <w:rPr>
          <w:rFonts w:hint="eastAsia" w:ascii="仿宋_GB2312" w:hAnsi="黑体" w:eastAsia="仿宋_GB2312"/>
          <w:sz w:val="32"/>
          <w:szCs w:val="32"/>
          <w:lang w:eastAsia="zh-CN"/>
        </w:rPr>
        <w:t>同比上年持平。</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事务（款）事业运行（项）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322.83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人员变动，薪资调整。</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w:t>
      </w:r>
      <w:r>
        <w:rPr>
          <w:rFonts w:hint="eastAsia" w:ascii="仿宋_GB2312" w:hAnsi="黑体" w:eastAsia="仿宋_GB2312" w:cs="仿宋_GB2312"/>
          <w:sz w:val="32"/>
          <w:szCs w:val="32"/>
        </w:rPr>
        <w:t>事务（款）其他财政事务支出（项）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厉行节约，压减支出。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0.07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367.44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59.61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主要是人员变动，养老保险缴费基数调整。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183.72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183.72</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lang w:val="en-US" w:eastAsia="zh-CN"/>
          <w14:textFill>
            <w14:solidFill>
              <w14:schemeClr w14:val="tx1"/>
            </w14:solidFill>
          </w14:textFill>
        </w:rPr>
        <w:t>增加的主要原因是2023年度单位部分职业年金实行实帐积累，该部分新增预算</w:t>
      </w:r>
      <w:r>
        <w:rPr>
          <w:rFonts w:hint="eastAsia" w:ascii="仿宋_GB2312" w:hAnsi="黑体" w:eastAsia="仿宋_GB2312"/>
          <w:sz w:val="32"/>
          <w:szCs w:val="32"/>
          <w:lang w:val="en-US" w:eastAsia="zh-CN"/>
        </w:rPr>
        <w:t>用于缴纳职工单位部分职业年金</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（款）其他行政事业单位养老支出（项）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111.22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31.57</w:t>
      </w:r>
      <w:r>
        <w:rPr>
          <w:rFonts w:hint="eastAsia" w:ascii="仿宋_GB2312" w:hAnsi="黑体" w:eastAsia="仿宋_GB2312"/>
          <w:sz w:val="32"/>
          <w:szCs w:val="32"/>
        </w:rPr>
        <w:t>万元，</w:t>
      </w:r>
      <w:r>
        <w:rPr>
          <w:rFonts w:hint="eastAsia" w:ascii="仿宋_GB2312" w:hAnsi="黑体" w:eastAsia="仿宋_GB2312"/>
          <w:sz w:val="32"/>
          <w:szCs w:val="32"/>
          <w:lang w:eastAsia="zh-CN"/>
        </w:rPr>
        <w:t>根据</w:t>
      </w:r>
      <w:r>
        <w:rPr>
          <w:rFonts w:hint="eastAsia" w:ascii="仿宋_GB2312" w:hAnsi="黑体" w:eastAsia="仿宋_GB2312"/>
          <w:sz w:val="32"/>
          <w:szCs w:val="32"/>
          <w:lang w:val="en-US" w:eastAsia="zh-CN"/>
        </w:rPr>
        <w:t>2022年实际支出测算增加本年预算数。</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（款）行政单位医疗（项）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160.78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45.19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主要是人员变动，社保基数调整。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主要是社保缴费基数调整。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250.86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58.73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主要是薪资变动，社保缴费基数调整。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48.62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29.32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主要是社保缴费基数调整。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住房保障支出（类）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332.63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76.45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调增住房公积金基数。</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rPr>
        <w:t>住房保障支出（类）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增加财政信息中心购房补贴预算。</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eastAsia="zh-CN"/>
        </w:rPr>
        <w:t>海口市财政局</w:t>
      </w:r>
      <w:r>
        <w:rPr>
          <w:rFonts w:hint="eastAsia" w:ascii="黑体" w:hAnsi="黑体" w:eastAsia="黑体"/>
          <w:color w:val="auto"/>
          <w:sz w:val="32"/>
          <w:szCs w:val="32"/>
        </w:rPr>
        <w:t>（部门）</w:t>
      </w:r>
      <w:r>
        <w:rPr>
          <w:rFonts w:hint="eastAsia" w:ascii="仿宋_GB2312" w:hAnsi="黑体" w:eastAsia="仿宋_GB2312"/>
          <w:color w:val="auto"/>
          <w:sz w:val="32"/>
          <w:szCs w:val="32"/>
          <w:lang w:val="en-US" w:eastAsia="zh-CN"/>
        </w:rPr>
        <w:t>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4880.4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4431.48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w:t>
      </w:r>
      <w:r>
        <w:rPr>
          <w:rFonts w:hint="eastAsia" w:ascii="仿宋_GB2312" w:hAnsi="黑体" w:eastAsia="仿宋_GB2312"/>
          <w:sz w:val="32"/>
          <w:szCs w:val="32"/>
        </w:rPr>
        <w:t>基本工资、津贴补贴、奖金</w:t>
      </w:r>
      <w:r>
        <w:rPr>
          <w:rFonts w:hint="eastAsia" w:ascii="仿宋_GB2312" w:hAnsi="黑体" w:eastAsia="仿宋_GB2312"/>
          <w:sz w:val="32"/>
          <w:szCs w:val="32"/>
          <w:lang w:eastAsia="zh-CN"/>
        </w:rPr>
        <w:t>、绩效工资、机关事业单位基本养老保险缴费、职工基本医疗保险缴费、公务员医疗补助缴费、其他社会保障缴费、住房公积金、医疗费、其他工资福利支出、商品服务支出、邮电费、其他交通费用、对个人和家庭的补助、离休费、医疗费补助、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448.92</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w:t>
      </w:r>
      <w:r>
        <w:rPr>
          <w:rFonts w:hint="eastAsia" w:ascii="仿宋_GB2312" w:hAnsi="黑体" w:eastAsia="仿宋_GB2312"/>
          <w:sz w:val="32"/>
          <w:szCs w:val="32"/>
          <w:lang w:eastAsia="zh-CN"/>
        </w:rPr>
        <w:t>水费、电费、</w:t>
      </w:r>
      <w:r>
        <w:rPr>
          <w:rFonts w:hint="eastAsia" w:ascii="仿宋_GB2312" w:hAnsi="黑体" w:eastAsia="仿宋_GB2312"/>
          <w:sz w:val="32"/>
          <w:szCs w:val="32"/>
        </w:rPr>
        <w:t>邮电费</w:t>
      </w:r>
      <w:r>
        <w:rPr>
          <w:rFonts w:hint="eastAsia" w:ascii="仿宋_GB2312" w:hAnsi="黑体" w:eastAsia="仿宋_GB2312"/>
          <w:sz w:val="32"/>
          <w:szCs w:val="32"/>
          <w:lang w:eastAsia="zh-CN"/>
        </w:rPr>
        <w:t>、物业管理费、</w:t>
      </w:r>
      <w:r>
        <w:rPr>
          <w:rFonts w:hint="eastAsia" w:ascii="仿宋_GB2312" w:hAnsi="黑体" w:eastAsia="仿宋_GB2312"/>
          <w:sz w:val="32"/>
          <w:szCs w:val="32"/>
        </w:rPr>
        <w:t>差旅费</w:t>
      </w:r>
      <w:r>
        <w:rPr>
          <w:rFonts w:hint="eastAsia" w:ascii="仿宋_GB2312" w:hAnsi="黑体" w:eastAsia="仿宋_GB2312"/>
          <w:sz w:val="32"/>
          <w:szCs w:val="32"/>
          <w:lang w:eastAsia="zh-CN"/>
        </w:rPr>
        <w:t>、维修（护）费、租赁费、培训费、会议费、专用材料费、委托业务费、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、离休费、生活补助、救济费、商品服务支出、其他对个人和家庭的补助、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36.5</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37.5</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减少</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主要原因包括</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财政国库支付局调减</w:t>
      </w:r>
      <w:r>
        <w:rPr>
          <w:rFonts w:hint="eastAsia" w:ascii="Times New Roman" w:hAnsi="Times New Roman" w:eastAsia="仿宋_GB2312" w:cs="Times New Roman"/>
          <w:sz w:val="32"/>
          <w:shd w:val="clear" w:color="auto" w:fill="FFFFFF"/>
          <w:lang w:val="en-US" w:eastAsia="zh-CN"/>
        </w:rPr>
        <w:t>2023年因公</w:t>
      </w:r>
      <w:r>
        <w:rPr>
          <w:rFonts w:hint="eastAsia" w:ascii="Times New Roman" w:hAnsi="Times New Roman" w:eastAsia="仿宋_GB2312" w:cs="Times New Roman"/>
          <w:sz w:val="32"/>
          <w:shd w:val="clear" w:color="auto" w:fill="FFFFFF"/>
          <w:lang w:eastAsia="zh-CN"/>
        </w:rPr>
        <w:t>出国（境）预算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w:t>
      </w:r>
      <w:r>
        <w:rPr>
          <w:rFonts w:hint="eastAsia" w:ascii="Times New Roman" w:hAnsi="Times New Roman" w:eastAsia="仿宋_GB2312" w:cs="Times New Roman"/>
          <w:sz w:val="32"/>
          <w:shd w:val="clear" w:color="auto" w:fill="FFFFFF"/>
        </w:rPr>
        <w:t>和上级单位</w:t>
      </w:r>
      <w:r>
        <w:rPr>
          <w:rFonts w:ascii="Times New Roman" w:hAnsi="Times New Roman" w:eastAsia="仿宋_GB2312" w:cs="Times New Roman"/>
          <w:sz w:val="32"/>
          <w:shd w:val="clear" w:color="auto" w:fill="FFFFFF"/>
        </w:rPr>
        <w:t>等安排的</w:t>
      </w:r>
      <w:r>
        <w:rPr>
          <w:rFonts w:hint="eastAsia" w:ascii="仿宋_GB2312" w:hAnsi="黑体" w:eastAsia="仿宋_GB2312" w:cs="仿宋_GB2312"/>
          <w:sz w:val="32"/>
          <w:szCs w:val="32"/>
          <w:highlight w:val="none"/>
        </w:rPr>
        <w:t>202</w:t>
      </w:r>
      <w:r>
        <w:rPr>
          <w:rFonts w:hint="eastAsia" w:ascii="仿宋_GB2312" w:hAnsi="黑体" w:eastAsia="仿宋_GB2312" w:cs="仿宋_GB2312"/>
          <w:sz w:val="32"/>
          <w:szCs w:val="32"/>
          <w:highlight w:val="none"/>
          <w:lang w:val="en-US" w:eastAsia="zh-CN"/>
        </w:rPr>
        <w:t>3</w:t>
      </w:r>
      <w:r>
        <w:rPr>
          <w:rFonts w:ascii="Times New Roman" w:hAnsi="Times New Roman" w:eastAsia="仿宋_GB2312" w:cs="Times New Roman"/>
          <w:sz w:val="32"/>
          <w:highlight w:val="none"/>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2</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2</w:t>
      </w:r>
      <w:r>
        <w:rPr>
          <w:rFonts w:ascii="Times New Roman" w:hAnsi="Times New Roman" w:eastAsia="仿宋_GB2312" w:cs="Times New Roman"/>
          <w:sz w:val="32"/>
          <w:shd w:val="clear" w:color="auto" w:fill="FFFFFF"/>
        </w:rPr>
        <w:t>人。出国（境）团组主要包括：</w:t>
      </w:r>
      <w:r>
        <w:rPr>
          <w:rFonts w:hint="eastAsia" w:ascii="仿宋_GB2312" w:hAnsi="仿宋_GB2312" w:eastAsia="仿宋_GB2312" w:cs="仿宋_GB2312"/>
          <w:sz w:val="32"/>
          <w:shd w:val="clear" w:color="auto" w:fill="FFFFFF"/>
        </w:rPr>
        <w:t>1.</w:t>
      </w:r>
      <w:r>
        <w:rPr>
          <w:rFonts w:hint="eastAsia" w:ascii="Times New Roman" w:hAnsi="Times New Roman" w:eastAsia="仿宋_GB2312" w:cs="Times New Roman"/>
          <w:sz w:val="32"/>
          <w:shd w:val="clear" w:color="auto" w:fill="FFFFFF"/>
        </w:rPr>
        <w:t>上级或外事部门组织安排的出访</w:t>
      </w:r>
      <w:r>
        <w:rPr>
          <w:rFonts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rPr>
        <w:t>待定</w:t>
      </w:r>
      <w:r>
        <w:rPr>
          <w:rFonts w:ascii="Times New Roman" w:hAnsi="Times New Roman" w:eastAsia="仿宋_GB2312" w:cs="Times New Roman"/>
          <w:sz w:val="32"/>
          <w:shd w:val="clear" w:color="auto" w:fill="FFFFFF"/>
        </w:rPr>
        <w:t>，人数</w:t>
      </w:r>
      <w:r>
        <w:rPr>
          <w:rFonts w:hint="eastAsia" w:ascii="Times New Roman" w:hAnsi="Times New Roman" w:eastAsia="仿宋_GB2312" w:cs="Times New Roman"/>
          <w:sz w:val="32"/>
          <w:shd w:val="clear" w:color="auto" w:fill="FFFFFF"/>
        </w:rPr>
        <w:t>待定</w:t>
      </w:r>
      <w:r>
        <w:rPr>
          <w:rFonts w:ascii="Times New Roman" w:hAnsi="Times New Roman" w:eastAsia="仿宋_GB2312" w:cs="Times New Roman"/>
          <w:sz w:val="32"/>
          <w:shd w:val="clear" w:color="auto" w:fill="FFFFFF"/>
        </w:rPr>
        <w:t>，天数</w:t>
      </w:r>
      <w:r>
        <w:rPr>
          <w:rFonts w:hint="eastAsia" w:ascii="Times New Roman" w:hAnsi="Times New Roman" w:eastAsia="仿宋_GB2312" w:cs="Times New Roman"/>
          <w:sz w:val="32"/>
          <w:shd w:val="clear" w:color="auto" w:fill="FFFFFF"/>
        </w:rPr>
        <w:t>待定</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主要任务为上级或外事部门组织的出访和培训任务；</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3.5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133.33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增加</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为财政局</w:t>
      </w:r>
      <w:r>
        <w:rPr>
          <w:rFonts w:hint="eastAsia" w:ascii="Times New Roman" w:hAnsi="Times New Roman" w:eastAsia="仿宋_GB2312" w:cs="Times New Roman"/>
          <w:sz w:val="32"/>
          <w:shd w:val="clear" w:color="auto" w:fill="FFFFFF"/>
          <w:lang w:val="en-US" w:eastAsia="zh-CN"/>
        </w:rPr>
        <w:t>2023年增加</w:t>
      </w:r>
      <w:r>
        <w:rPr>
          <w:rFonts w:hint="eastAsia" w:ascii="Times New Roman" w:hAnsi="Times New Roman" w:eastAsia="仿宋_GB2312" w:cs="Times New Roman"/>
          <w:sz w:val="32"/>
          <w:shd w:val="clear" w:color="auto" w:fill="FFFFFF"/>
          <w:lang w:eastAsia="zh-CN"/>
        </w:rPr>
        <w:t>接待费预算安排。</w:t>
      </w:r>
      <w:r>
        <w:rPr>
          <w:rFonts w:hint="eastAsia" w:ascii="Times New Roman" w:hAnsi="Times New Roman" w:eastAsia="仿宋_GB2312" w:cs="Times New Roman"/>
          <w:color w:val="auto"/>
          <w:sz w:val="32"/>
          <w:shd w:val="clear" w:color="auto" w:fill="FFFFFF"/>
          <w:lang w:val="en-US" w:eastAsia="zh-CN"/>
        </w:rPr>
        <w:t>2023年公务接待</w:t>
      </w:r>
      <w:r>
        <w:rPr>
          <w:rFonts w:hint="eastAsia" w:ascii="Times New Roman" w:hAnsi="Times New Roman" w:eastAsia="仿宋_GB2312" w:cs="Times New Roman"/>
          <w:color w:val="auto"/>
          <w:sz w:val="32"/>
          <w:shd w:val="clear" w:color="auto" w:fill="FFFFFF"/>
        </w:rPr>
        <w:t>计划</w:t>
      </w:r>
      <w:r>
        <w:rPr>
          <w:rFonts w:hint="eastAsia" w:ascii="Times New Roman" w:hAnsi="Times New Roman" w:eastAsia="仿宋_GB2312" w:cs="Times New Roman"/>
          <w:color w:val="auto"/>
          <w:sz w:val="32"/>
          <w:shd w:val="clear" w:color="auto" w:fill="FFFFFF"/>
          <w:lang w:eastAsia="zh-CN"/>
        </w:rPr>
        <w:t>接待</w:t>
      </w:r>
      <w:r>
        <w:rPr>
          <w:rFonts w:hint="eastAsia" w:ascii="Times New Roman" w:hAnsi="Times New Roman" w:eastAsia="仿宋_GB2312" w:cs="Times New Roman"/>
          <w:color w:val="auto"/>
          <w:sz w:val="32"/>
          <w:shd w:val="clear" w:color="auto" w:fill="FFFFFF"/>
          <w:lang w:val="en-US" w:eastAsia="zh-CN"/>
        </w:rPr>
        <w:t>12</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eastAsia="zh-CN"/>
        </w:rPr>
        <w:t>次</w:t>
      </w:r>
      <w:r>
        <w:rPr>
          <w:rFonts w:hint="eastAsia" w:ascii="仿宋_GB2312" w:hAnsi="黑体" w:eastAsia="仿宋_GB2312" w:cs="仿宋_GB2312"/>
          <w:color w:val="auto"/>
          <w:sz w:val="32"/>
          <w:szCs w:val="32"/>
          <w:lang w:val="en-US" w:eastAsia="zh-CN"/>
        </w:rPr>
        <w:t>210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仿宋_GB2312" w:eastAsia="仿宋_GB2312" w:cs="仿宋_GB2312"/>
          <w:sz w:val="32"/>
          <w:highlight w:val="none"/>
          <w:shd w:val="clear" w:color="auto" w:fill="FFFFFF"/>
        </w:rPr>
        <w:t>根据外事部门和上级单位等安排的</w:t>
      </w:r>
      <w:r>
        <w:rPr>
          <w:rFonts w:hint="eastAsia" w:ascii="仿宋_GB2312" w:hAnsi="仿宋_GB2312" w:eastAsia="仿宋_GB2312" w:cs="仿宋_GB2312"/>
          <w:sz w:val="32"/>
          <w:szCs w:val="32"/>
          <w:highlight w:val="none"/>
        </w:rPr>
        <w:t>2022</w:t>
      </w:r>
      <w:r>
        <w:rPr>
          <w:rFonts w:hint="eastAsia" w:ascii="仿宋_GB2312" w:hAnsi="仿宋_GB2312" w:eastAsia="仿宋_GB2312" w:cs="仿宋_GB2312"/>
          <w:sz w:val="32"/>
          <w:highlight w:val="none"/>
          <w:shd w:val="clear" w:color="auto" w:fill="FFFFFF"/>
        </w:rPr>
        <w:t>年出国计划，拟安排出国（境）组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次，出国（境）</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人。出国（境）团组主要包括：1.无团组：目的地为无，人数为</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人，天数为</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highlight w:val="none"/>
          <w:shd w:val="clear" w:color="auto" w:fill="FFFFFF"/>
        </w:rPr>
        <w:t>天，主要任务无；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ind w:firstLine="960" w:firstLineChars="3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政府性基金预算拨款。</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（部门）所有收入和支出均纳入部门预算管理。收入</w:t>
      </w:r>
      <w:r>
        <w:rPr>
          <w:rFonts w:hint="eastAsia" w:ascii="仿宋_GB2312" w:hAnsi="黑体" w:eastAsia="仿宋_GB2312" w:cs="仿宋_GB2312"/>
          <w:sz w:val="32"/>
          <w:szCs w:val="32"/>
          <w:lang w:eastAsia="zh-CN"/>
        </w:rPr>
        <w:t>仅</w:t>
      </w:r>
      <w:r>
        <w:rPr>
          <w:rFonts w:hint="eastAsia" w:ascii="仿宋_GB2312" w:hAnsi="黑体" w:eastAsia="仿宋_GB2312" w:cs="仿宋_GB2312"/>
          <w:sz w:val="32"/>
          <w:szCs w:val="32"/>
        </w:rPr>
        <w:t>包括一般公共预算收入、</w:t>
      </w:r>
      <w:r>
        <w:rPr>
          <w:rFonts w:hint="eastAsia" w:ascii="仿宋_GB2312" w:hAnsi="黑体" w:eastAsia="仿宋_GB2312" w:cs="仿宋_GB2312"/>
          <w:sz w:val="32"/>
          <w:szCs w:val="32"/>
          <w:lang w:eastAsia="zh-CN"/>
        </w:rPr>
        <w:t>无政府性基金</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其他财政资金收入、事业收入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7792.86</w:t>
      </w:r>
      <w:r>
        <w:rPr>
          <w:rFonts w:hint="eastAsia" w:ascii="仿宋_GB2312" w:hAnsi="黑体" w:eastAsia="仿宋_GB2312"/>
          <w:sz w:val="32"/>
          <w:szCs w:val="32"/>
          <w:lang w:eastAsia="zh-CN"/>
        </w:rPr>
        <w:t>万元</w:t>
      </w:r>
      <w:r>
        <w:rPr>
          <w:rFonts w:hint="eastAsia" w:ascii="仿宋_GB2312" w:hAnsi="黑体" w:eastAsia="仿宋_GB2312"/>
          <w:sz w:val="32"/>
          <w:szCs w:val="32"/>
        </w:rPr>
        <w:t>、公共安全支出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676.29</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478.1万元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333.15</w:t>
      </w:r>
      <w:r>
        <w:rPr>
          <w:rFonts w:hint="eastAsia" w:ascii="仿宋_GB2312" w:hAnsi="黑体" w:eastAsia="仿宋_GB2312"/>
          <w:sz w:val="32"/>
          <w:szCs w:val="32"/>
          <w:lang w:eastAsia="zh-CN"/>
        </w:rPr>
        <w:t>万元。海口市财政局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9280.4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9280.4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color w:val="auto"/>
          <w:sz w:val="32"/>
          <w:szCs w:val="32"/>
          <w:lang w:eastAsia="zh-CN"/>
        </w:rPr>
        <w:t>较</w:t>
      </w:r>
      <w:r>
        <w:rPr>
          <w:rFonts w:hint="eastAsia" w:ascii="仿宋_GB2312" w:hAnsi="黑体" w:eastAsia="仿宋_GB2312"/>
          <w:color w:val="auto"/>
          <w:sz w:val="32"/>
          <w:szCs w:val="32"/>
        </w:rPr>
        <w:t>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1289.16</w:t>
      </w:r>
      <w:r>
        <w:rPr>
          <w:rFonts w:hint="eastAsia" w:ascii="仿宋_GB2312" w:hAnsi="黑体" w:eastAsia="仿宋_GB2312" w:cs="仿宋_GB2312"/>
          <w:color w:val="auto"/>
          <w:sz w:val="32"/>
          <w:szCs w:val="32"/>
          <w:lang w:val="en-US" w:eastAsia="zh-CN"/>
        </w:rPr>
        <w:t>万元，主要原因是</w:t>
      </w:r>
      <w:r>
        <w:rPr>
          <w:rFonts w:hint="eastAsia" w:ascii="仿宋_GB2312" w:hAnsi="黑体" w:eastAsia="仿宋_GB2312"/>
          <w:sz w:val="32"/>
          <w:szCs w:val="32"/>
          <w:lang w:eastAsia="zh-CN"/>
        </w:rPr>
        <w:t>增加下属单位预算评审中心</w:t>
      </w:r>
      <w:r>
        <w:rPr>
          <w:rFonts w:hint="eastAsia" w:ascii="仿宋_GB2312" w:hAnsi="黑体" w:eastAsia="仿宋_GB2312"/>
          <w:sz w:val="32"/>
          <w:szCs w:val="32"/>
          <w:lang w:val="en-US" w:eastAsia="zh-CN"/>
        </w:rPr>
        <w:t>2023年预算收入</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9280.4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4880.4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52.59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4400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47.41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olor w:val="auto"/>
          <w:sz w:val="32"/>
          <w:szCs w:val="32"/>
          <w:lang w:val="en-US" w:eastAsia="zh-CN"/>
        </w:rPr>
        <w:t>1289.16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cs="仿宋_GB2312"/>
          <w:sz w:val="32"/>
          <w:szCs w:val="32"/>
          <w:lang w:val="en-US" w:eastAsia="zh-CN"/>
        </w:rPr>
        <w:t>是</w:t>
      </w:r>
      <w:r>
        <w:rPr>
          <w:rFonts w:hint="eastAsia" w:ascii="仿宋_GB2312" w:hAnsi="黑体" w:eastAsia="仿宋_GB2312"/>
          <w:sz w:val="32"/>
          <w:szCs w:val="32"/>
          <w:lang w:eastAsia="zh-CN"/>
        </w:rPr>
        <w:t>增加下属单位预算评审中心</w:t>
      </w:r>
      <w:r>
        <w:rPr>
          <w:rFonts w:hint="eastAsia" w:ascii="仿宋_GB2312" w:hAnsi="黑体" w:eastAsia="仿宋_GB2312"/>
          <w:sz w:val="32"/>
          <w:szCs w:val="32"/>
          <w:lang w:val="en-US" w:eastAsia="zh-CN"/>
        </w:rPr>
        <w:t>2023年预算支出。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145.19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海口市财政国库支付局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259.59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海口市财政局</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2686.83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2686.83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辆、其他用车12辆。单位价值100万元以上设备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62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9280.4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F53D8B"/>
    <w:multiLevelType w:val="singleLevel"/>
    <w:tmpl w:val="1DF53D8B"/>
    <w:lvl w:ilvl="0" w:tentative="0">
      <w:start w:val="3"/>
      <w:numFmt w:val="chineseCounting"/>
      <w:suff w:val="nothing"/>
      <w:lvlText w:val="（%1）"/>
      <w:lvlJc w:val="left"/>
      <w:rPr>
        <w:rFonts w:hint="eastAsia"/>
      </w:r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413E8"/>
    <w:rsid w:val="003E2415"/>
    <w:rsid w:val="010F1A34"/>
    <w:rsid w:val="01670EE6"/>
    <w:rsid w:val="01E9585D"/>
    <w:rsid w:val="02164EBB"/>
    <w:rsid w:val="02CF179D"/>
    <w:rsid w:val="0381456F"/>
    <w:rsid w:val="041E3DC5"/>
    <w:rsid w:val="05306BD7"/>
    <w:rsid w:val="085B6AFB"/>
    <w:rsid w:val="08A15629"/>
    <w:rsid w:val="08BD0FC2"/>
    <w:rsid w:val="095D68A8"/>
    <w:rsid w:val="09711140"/>
    <w:rsid w:val="09A2719C"/>
    <w:rsid w:val="09AB45D7"/>
    <w:rsid w:val="09FC26EA"/>
    <w:rsid w:val="0AA97077"/>
    <w:rsid w:val="0B913693"/>
    <w:rsid w:val="0C104FA2"/>
    <w:rsid w:val="0E952EDB"/>
    <w:rsid w:val="0EEE5B30"/>
    <w:rsid w:val="10E61118"/>
    <w:rsid w:val="141E50C4"/>
    <w:rsid w:val="1704612C"/>
    <w:rsid w:val="17F32D3A"/>
    <w:rsid w:val="181255F3"/>
    <w:rsid w:val="191E0D4D"/>
    <w:rsid w:val="19675D4F"/>
    <w:rsid w:val="1A316307"/>
    <w:rsid w:val="1AC110C8"/>
    <w:rsid w:val="1AD413E8"/>
    <w:rsid w:val="1C5C1B50"/>
    <w:rsid w:val="1CBE3832"/>
    <w:rsid w:val="1DF33EB1"/>
    <w:rsid w:val="1EAA6BCF"/>
    <w:rsid w:val="1F1817D1"/>
    <w:rsid w:val="20111E7F"/>
    <w:rsid w:val="204B4A5B"/>
    <w:rsid w:val="20865723"/>
    <w:rsid w:val="20D82AD0"/>
    <w:rsid w:val="221D77EB"/>
    <w:rsid w:val="222D6285"/>
    <w:rsid w:val="224E2556"/>
    <w:rsid w:val="24181C28"/>
    <w:rsid w:val="24B607E6"/>
    <w:rsid w:val="24CD73C8"/>
    <w:rsid w:val="26642E8E"/>
    <w:rsid w:val="272F55C6"/>
    <w:rsid w:val="28743362"/>
    <w:rsid w:val="289511F3"/>
    <w:rsid w:val="2908799A"/>
    <w:rsid w:val="295D0504"/>
    <w:rsid w:val="2BA9632B"/>
    <w:rsid w:val="2C9D5223"/>
    <w:rsid w:val="2D942C8F"/>
    <w:rsid w:val="2E1A5D44"/>
    <w:rsid w:val="2E212B7D"/>
    <w:rsid w:val="2E4C6CE2"/>
    <w:rsid w:val="2E9C4E93"/>
    <w:rsid w:val="2ED03CEB"/>
    <w:rsid w:val="2F4E3A54"/>
    <w:rsid w:val="2F743281"/>
    <w:rsid w:val="2F894A8C"/>
    <w:rsid w:val="2F9C4033"/>
    <w:rsid w:val="2F9D5173"/>
    <w:rsid w:val="2FE42260"/>
    <w:rsid w:val="30234855"/>
    <w:rsid w:val="305E7E20"/>
    <w:rsid w:val="31334CFE"/>
    <w:rsid w:val="316D65CE"/>
    <w:rsid w:val="31990CAB"/>
    <w:rsid w:val="31F75B93"/>
    <w:rsid w:val="320E6F5A"/>
    <w:rsid w:val="32A75E2E"/>
    <w:rsid w:val="33274063"/>
    <w:rsid w:val="33552DDD"/>
    <w:rsid w:val="33831E9D"/>
    <w:rsid w:val="33D7411D"/>
    <w:rsid w:val="352A3D5F"/>
    <w:rsid w:val="35373891"/>
    <w:rsid w:val="35C514B1"/>
    <w:rsid w:val="37ED17E9"/>
    <w:rsid w:val="38B367AE"/>
    <w:rsid w:val="3A2B1436"/>
    <w:rsid w:val="3A500F0C"/>
    <w:rsid w:val="3CDE08DA"/>
    <w:rsid w:val="3E8C4FA1"/>
    <w:rsid w:val="3F6065A7"/>
    <w:rsid w:val="404D60D0"/>
    <w:rsid w:val="42D658FC"/>
    <w:rsid w:val="464A499F"/>
    <w:rsid w:val="4655542C"/>
    <w:rsid w:val="47786A96"/>
    <w:rsid w:val="47DE03FD"/>
    <w:rsid w:val="48E5143B"/>
    <w:rsid w:val="48EA76B2"/>
    <w:rsid w:val="4BFA6549"/>
    <w:rsid w:val="4CB14EBD"/>
    <w:rsid w:val="4D0A0362"/>
    <w:rsid w:val="4D770318"/>
    <w:rsid w:val="4FD83EFC"/>
    <w:rsid w:val="50267467"/>
    <w:rsid w:val="50E227D1"/>
    <w:rsid w:val="52CC03FF"/>
    <w:rsid w:val="543F5F6A"/>
    <w:rsid w:val="5531012F"/>
    <w:rsid w:val="57687A40"/>
    <w:rsid w:val="59303143"/>
    <w:rsid w:val="5976275F"/>
    <w:rsid w:val="5A84325B"/>
    <w:rsid w:val="5C567002"/>
    <w:rsid w:val="5C6B4057"/>
    <w:rsid w:val="5EE758CF"/>
    <w:rsid w:val="606E4AEE"/>
    <w:rsid w:val="61B76B7B"/>
    <w:rsid w:val="61F41964"/>
    <w:rsid w:val="630F0257"/>
    <w:rsid w:val="638243AD"/>
    <w:rsid w:val="66271415"/>
    <w:rsid w:val="66433CE3"/>
    <w:rsid w:val="66CC20E9"/>
    <w:rsid w:val="67205408"/>
    <w:rsid w:val="674C42BA"/>
    <w:rsid w:val="68524A80"/>
    <w:rsid w:val="68DD3352"/>
    <w:rsid w:val="69754291"/>
    <w:rsid w:val="6A574C22"/>
    <w:rsid w:val="6AB4022D"/>
    <w:rsid w:val="6BA27FC1"/>
    <w:rsid w:val="6C3F49D3"/>
    <w:rsid w:val="6E596670"/>
    <w:rsid w:val="6EE4561D"/>
    <w:rsid w:val="6EF669CF"/>
    <w:rsid w:val="708138F2"/>
    <w:rsid w:val="70BA2D4E"/>
    <w:rsid w:val="70F50C7F"/>
    <w:rsid w:val="714C2080"/>
    <w:rsid w:val="73377321"/>
    <w:rsid w:val="75137A54"/>
    <w:rsid w:val="7558109E"/>
    <w:rsid w:val="78743D68"/>
    <w:rsid w:val="78CC6D65"/>
    <w:rsid w:val="7A974F7A"/>
    <w:rsid w:val="7B51084A"/>
    <w:rsid w:val="7B522172"/>
    <w:rsid w:val="7CAB6F6E"/>
    <w:rsid w:val="7D6D5C4D"/>
    <w:rsid w:val="7D763657"/>
    <w:rsid w:val="7EBB69A7"/>
    <w:rsid w:val="7EE5030F"/>
    <w:rsid w:val="EEF62F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15</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2022-03-01T10:18:00Z</dcterms:created>
  <dc:creator>admin</dc:creator>
  <cp:lastModifiedBy>lenovo</cp:lastModifiedBy>
  <dcterms:modified xsi:type="dcterms:W3CDTF">2023-03-07T17:00:25Z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