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lang w:val="en-US" w:eastAsia="zh-CN"/>
        </w:rPr>
        <w:t>2021</w:t>
      </w:r>
      <w:r>
        <w:rPr>
          <w:rFonts w:hint="eastAsia" w:ascii="方正小标宋简体" w:hAnsi="方正小标宋简体" w:eastAsia="方正小标宋简体" w:cs="方正小标宋简体"/>
          <w:sz w:val="48"/>
          <w:szCs w:val="48"/>
        </w:rPr>
        <w:t>年</w:t>
      </w:r>
      <w:r>
        <w:rPr>
          <w:rFonts w:hint="eastAsia" w:ascii="方正小标宋简体" w:hAnsi="方正小标宋简体" w:eastAsia="方正小标宋简体" w:cs="方正小标宋简体"/>
          <w:sz w:val="48"/>
          <w:szCs w:val="48"/>
          <w:lang w:eastAsia="zh-CN"/>
        </w:rPr>
        <w:t>海口市财政信息中心</w:t>
      </w:r>
      <w:r>
        <w:rPr>
          <w:rFonts w:hint="eastAsia" w:ascii="方正小标宋简体" w:hAnsi="方正小标宋简体" w:eastAsia="方正小标宋简体" w:cs="方正小标宋简体"/>
          <w:sz w:val="48"/>
          <w:szCs w:val="48"/>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hint="eastAsia" w:ascii="仿宋_GB2312" w:hAnsi="仿宋_GB2312" w:eastAsia="仿宋_GB2312" w:cs="仿宋_GB2312"/>
          <w:b/>
          <w:bCs/>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单位概况</w:t>
      </w:r>
    </w:p>
    <w:p>
      <w:pPr>
        <w:pStyle w:val="10"/>
        <w:numPr>
          <w:ilvl w:val="0"/>
          <w:numId w:val="2"/>
        </w:numPr>
        <w:ind w:firstLineChars="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主要职能</w:t>
      </w:r>
    </w:p>
    <w:p>
      <w:pPr>
        <w:pStyle w:val="10"/>
        <w:numPr>
          <w:ilvl w:val="0"/>
          <w:numId w:val="2"/>
        </w:numPr>
        <w:ind w:firstLineChars="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部门</w:t>
      </w:r>
      <w:r>
        <w:rPr>
          <w:rFonts w:hint="eastAsia" w:ascii="仿宋_GB2312" w:hAnsi="仿宋_GB2312" w:eastAsia="仿宋_GB2312" w:cs="仿宋_GB2312"/>
          <w:b/>
          <w:bCs/>
          <w:sz w:val="32"/>
          <w:szCs w:val="32"/>
        </w:rPr>
        <w:t>预算单位构成</w:t>
      </w:r>
    </w:p>
    <w:p>
      <w:pPr>
        <w:pStyle w:val="10"/>
        <w:numPr>
          <w:ilvl w:val="0"/>
          <w:numId w:val="1"/>
        </w:numPr>
        <w:ind w:firstLineChars="0"/>
        <w:rPr>
          <w:rFonts w:ascii="黑体" w:hAnsi="黑体" w:eastAsia="黑体"/>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年单位预算表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hint="eastAsia" w:ascii="仿宋_GB2312" w:hAnsi="仿宋_GB2312" w:eastAsia="仿宋_GB2312" w:cs="仿宋_GB2312"/>
          <w:b/>
          <w:bCs/>
          <w:sz w:val="32"/>
          <w:szCs w:val="32"/>
        </w:rPr>
      </w:pPr>
      <w:r>
        <w:rPr>
          <w:rFonts w:hint="eastAsia" w:ascii="黑体" w:hAnsi="黑体" w:eastAsia="黑体"/>
          <w:sz w:val="32"/>
          <w:szCs w:val="32"/>
        </w:rPr>
        <w:t xml:space="preserve">  </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年单位预算情况</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说明</w:t>
      </w:r>
    </w:p>
    <w:p>
      <w:pPr>
        <w:pStyle w:val="10"/>
        <w:numPr>
          <w:ilvl w:val="0"/>
          <w:numId w:val="1"/>
        </w:numPr>
        <w:ind w:firstLineChars="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 xml:space="preserve">   名词解释</w:t>
      </w:r>
    </w:p>
    <w:p>
      <w:pPr>
        <w:pStyle w:val="10"/>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单位概况</w:t>
      </w:r>
    </w:p>
    <w:p>
      <w:pPr>
        <w:jc w:val="left"/>
        <w:rPr>
          <w:rFonts w:ascii="仿宋_GB2312" w:hAnsi="仿宋_GB2312" w:eastAsia="仿宋_GB2312" w:cs="仿宋_GB2312"/>
          <w:sz w:val="32"/>
          <w:szCs w:val="32"/>
        </w:rPr>
      </w:pP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xml:space="preserve">(一)负责制定并组织实施财政信息化建设的规划、制度和办法。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(二)负责市财政局域网的</w:t>
      </w:r>
      <w:r>
        <w:rPr>
          <w:rFonts w:hint="eastAsia" w:ascii="仿宋_GB2312" w:hAnsi="仿宋_GB2312" w:eastAsia="仿宋_GB2312" w:cs="仿宋_GB2312"/>
          <w:color w:val="333333"/>
          <w:sz w:val="32"/>
          <w:szCs w:val="32"/>
          <w:lang w:eastAsia="zh-CN"/>
        </w:rPr>
        <w:t>建设、</w:t>
      </w:r>
      <w:r>
        <w:rPr>
          <w:rFonts w:hint="eastAsia" w:ascii="仿宋_GB2312" w:hAnsi="仿宋_GB2312" w:eastAsia="仿宋_GB2312" w:cs="仿宋_GB2312"/>
          <w:color w:val="333333"/>
          <w:sz w:val="32"/>
          <w:szCs w:val="32"/>
        </w:rPr>
        <w:t xml:space="preserve">管理及系统维护。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xml:space="preserve">(三)负责财政信息资源开发、数据库建设、信息服务及信息技术人员的培训工作。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 xml:space="preserve">(四)负责办公自动化建设和计算机网络系统的安全保密等工作。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26" w:afterAutospacing="0" w:line="240" w:lineRule="auto"/>
        <w:ind w:left="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rPr>
        <w:t>(五)完成上级主管部门交办的其他工作。</w:t>
      </w:r>
    </w:p>
    <w:p>
      <w:pPr>
        <w:pStyle w:val="10"/>
        <w:numPr>
          <w:ilvl w:val="0"/>
          <w:numId w:val="5"/>
        </w:numPr>
        <w:ind w:firstLineChars="0"/>
        <w:jc w:val="left"/>
        <w:rPr>
          <w:rFonts w:hint="eastAsia"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部门预算单位构成</w:t>
      </w:r>
    </w:p>
    <w:p>
      <w:pPr>
        <w:ind w:firstLine="640" w:firstLineChars="200"/>
        <w:jc w:val="left"/>
        <w:rPr>
          <w:rFonts w:hint="eastAsia" w:ascii="仿宋_GB2312" w:hAnsi="黑体" w:eastAsia="仿宋_GB2312"/>
          <w:sz w:val="32"/>
          <w:szCs w:val="32"/>
          <w:lang w:eastAsia="zh-CN"/>
        </w:rPr>
      </w:pPr>
      <w:r>
        <w:rPr>
          <w:rFonts w:hint="eastAsia" w:ascii="仿宋_GB2312" w:hAnsi="黑体" w:eastAsia="仿宋_GB2312"/>
          <w:sz w:val="32"/>
          <w:szCs w:val="32"/>
          <w:lang w:eastAsia="zh-CN"/>
        </w:rPr>
        <w:t>无构成。</w:t>
      </w: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left="800"/>
        <w:jc w:val="left"/>
        <w:rPr>
          <w:rFonts w:ascii="仿宋_GB2312" w:hAnsi="黑体" w:eastAsia="仿宋_GB2312" w:cs="仿宋_GB2312"/>
          <w:sz w:val="32"/>
          <w:szCs w:val="32"/>
        </w:rPr>
      </w:pPr>
    </w:p>
    <w:p>
      <w:pPr>
        <w:ind w:firstLine="640" w:firstLineChars="200"/>
        <w:rPr>
          <w:rFonts w:hint="eastAsia" w:ascii="仿宋_GB2312" w:hAnsi="仿宋_GB2312" w:eastAsia="仿宋_GB2312" w:cs="仿宋_GB2312"/>
          <w:b/>
          <w:bCs/>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val="0"/>
          <w:bCs/>
          <w:sz w:val="32"/>
          <w:szCs w:val="32"/>
        </w:rPr>
      </w:pPr>
      <w:r>
        <w:rPr>
          <w:rFonts w:hint="eastAsia" w:ascii="仿宋_GB2312" w:hAnsi="黑体" w:eastAsia="仿宋_GB2312"/>
          <w:b w:val="0"/>
          <w:bCs/>
          <w:sz w:val="32"/>
          <w:szCs w:val="32"/>
        </w:rPr>
        <w:t>（此部分内容即为单位预算公开表）</w:t>
      </w:r>
    </w:p>
    <w:p>
      <w:pPr>
        <w:rPr>
          <w:rFonts w:ascii="黑体" w:hAnsi="黑体" w:eastAsia="黑体"/>
          <w:sz w:val="32"/>
          <w:szCs w:val="32"/>
        </w:rPr>
      </w:pPr>
    </w:p>
    <w:p>
      <w:pPr>
        <w:ind w:left="319" w:leftChars="152" w:firstLine="160" w:firstLineChars="50"/>
        <w:rPr>
          <w:rFonts w:hint="eastAsia" w:ascii="仿宋_GB2312" w:hAnsi="仿宋_GB2312" w:eastAsia="仿宋_GB2312" w:cs="仿宋_GB2312"/>
          <w:b/>
          <w:bCs/>
          <w:sz w:val="32"/>
          <w:szCs w:val="32"/>
        </w:rPr>
      </w:pPr>
      <w:r>
        <w:rPr>
          <w:rFonts w:hint="eastAsia" w:ascii="黑体" w:hAnsi="黑体" w:eastAsia="黑体"/>
          <w:sz w:val="32"/>
          <w:szCs w:val="32"/>
        </w:rPr>
        <w:t xml:space="preserve">第三部分  </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年财政拨款收支预算情况的总体说明</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年财政拨款收支总预算278万元。其中，收入总计278万元，包括一般公共预算本年收入278万元、上年结转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万元，政府性基金预算本年收入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；支出总计278万元，包括一般公共服务支出257.46万元、外交支出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万元、国防支出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 社会保障和就业支出8.31万元</w:t>
      </w:r>
      <w:r>
        <w:rPr>
          <w:rFonts w:hint="eastAsia" w:ascii="仿宋_GB2312" w:hAnsi="仿宋_GB2312" w:eastAsia="仿宋_GB2312" w:cs="仿宋_GB2312"/>
          <w:sz w:val="32"/>
          <w:szCs w:val="32"/>
          <w:lang w:val="en-US" w:eastAsia="zh-CN"/>
        </w:rPr>
        <w:t>, 卫生健康支出7.98万元， 住房保障支出4.26万元，</w:t>
      </w:r>
      <w:r>
        <w:rPr>
          <w:rFonts w:hint="eastAsia" w:ascii="仿宋_GB2312" w:hAnsi="仿宋_GB2312" w:eastAsia="仿宋_GB2312" w:cs="仿宋_GB2312"/>
          <w:sz w:val="32"/>
          <w:szCs w:val="32"/>
        </w:rPr>
        <w:t>结转下年</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海口市财政信息中心单位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年一般公共预算当年拨款278万元，比上年预算数增加</w:t>
      </w:r>
      <w:r>
        <w:rPr>
          <w:rFonts w:hint="eastAsia" w:ascii="仿宋_GB2312" w:hAnsi="仿宋_GB2312" w:eastAsia="仿宋_GB2312" w:cs="仿宋_GB2312"/>
          <w:sz w:val="32"/>
          <w:szCs w:val="32"/>
          <w:lang w:val="en-US" w:eastAsia="zh-CN"/>
        </w:rPr>
        <w:t>9.64</w:t>
      </w:r>
      <w:r>
        <w:rPr>
          <w:rFonts w:hint="eastAsia" w:ascii="仿宋_GB2312" w:hAnsi="仿宋_GB2312" w:eastAsia="仿宋_GB2312" w:cs="仿宋_GB2312"/>
          <w:sz w:val="32"/>
          <w:szCs w:val="32"/>
          <w:lang w:eastAsia="zh-CN"/>
        </w:rPr>
        <w:t>万元，主要是人员薪资调整，社会保险费跟公务员医疗补助等缴费基数提高。</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一般公共服务（类）支出257.46万元，占</w:t>
      </w:r>
      <w:r>
        <w:rPr>
          <w:rFonts w:hint="eastAsia" w:ascii="仿宋_GB2312" w:hAnsi="仿宋_GB2312" w:eastAsia="仿宋_GB2312" w:cs="仿宋_GB2312"/>
          <w:sz w:val="32"/>
          <w:szCs w:val="32"/>
          <w:lang w:val="en-US" w:eastAsia="zh-CN"/>
        </w:rPr>
        <w:t>92.61</w:t>
      </w:r>
      <w:r>
        <w:rPr>
          <w:rFonts w:hint="eastAsia" w:ascii="仿宋_GB2312" w:hAnsi="仿宋_GB2312" w:eastAsia="仿宋_GB2312" w:cs="仿宋_GB2312"/>
          <w:sz w:val="32"/>
          <w:szCs w:val="32"/>
          <w:lang w:eastAsia="zh-CN"/>
        </w:rPr>
        <w:t>%；外交（类）支出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%；教育（类）支出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%；科学技术（类）支出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%；社会保障和就业（类）支出8.31万元，占</w:t>
      </w:r>
      <w:r>
        <w:rPr>
          <w:rFonts w:hint="eastAsia" w:ascii="仿宋_GB2312" w:hAnsi="仿宋_GB2312" w:eastAsia="仿宋_GB2312" w:cs="仿宋_GB2312"/>
          <w:sz w:val="32"/>
          <w:szCs w:val="32"/>
          <w:lang w:val="en-US" w:eastAsia="zh-CN"/>
        </w:rPr>
        <w:t>2.99%；卫生健康</w:t>
      </w:r>
      <w:r>
        <w:rPr>
          <w:rFonts w:hint="eastAsia" w:ascii="仿宋_GB2312" w:hAnsi="仿宋_GB2312" w:eastAsia="仿宋_GB2312" w:cs="仿宋_GB2312"/>
          <w:sz w:val="32"/>
          <w:szCs w:val="32"/>
          <w:lang w:eastAsia="zh-CN"/>
        </w:rPr>
        <w:t>（类）支出</w:t>
      </w:r>
      <w:r>
        <w:rPr>
          <w:rFonts w:hint="eastAsia" w:ascii="仿宋_GB2312" w:hAnsi="仿宋_GB2312" w:eastAsia="仿宋_GB2312" w:cs="仿宋_GB2312"/>
          <w:sz w:val="32"/>
          <w:szCs w:val="32"/>
          <w:lang w:val="en-US" w:eastAsia="zh-CN"/>
        </w:rPr>
        <w:t>7.98万元,</w:t>
      </w:r>
      <w:r>
        <w:rPr>
          <w:rFonts w:hint="eastAsia" w:ascii="仿宋_GB2312" w:hAnsi="仿宋_GB2312" w:eastAsia="仿宋_GB2312" w:cs="仿宋_GB2312"/>
          <w:sz w:val="32"/>
          <w:szCs w:val="32"/>
          <w:lang w:eastAsia="zh-CN"/>
        </w:rPr>
        <w:t>占</w:t>
      </w:r>
      <w:r>
        <w:rPr>
          <w:rFonts w:hint="eastAsia" w:ascii="仿宋_GB2312" w:hAnsi="仿宋_GB2312" w:eastAsia="仿宋_GB2312" w:cs="仿宋_GB2312"/>
          <w:sz w:val="32"/>
          <w:szCs w:val="32"/>
          <w:lang w:val="en-US" w:eastAsia="zh-CN"/>
        </w:rPr>
        <w:t>2.87%;住房保障</w:t>
      </w:r>
      <w:r>
        <w:rPr>
          <w:rFonts w:hint="eastAsia" w:ascii="仿宋_GB2312" w:hAnsi="仿宋_GB2312" w:eastAsia="仿宋_GB2312" w:cs="仿宋_GB2312"/>
          <w:sz w:val="32"/>
          <w:szCs w:val="32"/>
          <w:lang w:eastAsia="zh-CN"/>
        </w:rPr>
        <w:t>（类）支出4.26</w:t>
      </w:r>
      <w:r>
        <w:rPr>
          <w:rFonts w:hint="eastAsia" w:ascii="仿宋_GB2312" w:hAnsi="仿宋_GB2312" w:eastAsia="仿宋_GB2312" w:cs="仿宋_GB2312"/>
          <w:sz w:val="32"/>
          <w:szCs w:val="32"/>
          <w:lang w:val="en-US" w:eastAsia="zh-CN"/>
        </w:rPr>
        <w:t>万元,占1.53%。</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1.一般公共服务（类）财政事务（款）信息化建设（项）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196</w:t>
      </w:r>
      <w:r>
        <w:rPr>
          <w:rFonts w:hint="eastAsia" w:ascii="仿宋_GB2312" w:hAnsi="黑体" w:eastAsia="仿宋_GB2312"/>
          <w:sz w:val="32"/>
          <w:szCs w:val="32"/>
        </w:rPr>
        <w:t>万元，主要是支出功能分类科目</w:t>
      </w:r>
      <w:r>
        <w:rPr>
          <w:rFonts w:hint="eastAsia" w:ascii="仿宋_GB2312" w:hAnsi="黑体" w:eastAsia="仿宋_GB2312"/>
          <w:sz w:val="32"/>
          <w:szCs w:val="32"/>
          <w:lang w:eastAsia="zh-CN"/>
        </w:rPr>
        <w:t>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一般公共服务（类）财政事务（款）事业运行（项）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61.46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7.62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人员薪资调整。</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社会保障和就业支出（类）行政事业单位养老支出（款）机关事业单位基本养老保险缴费支出（项）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7.71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1.23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人员薪资调整，缴费基数提高。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社会保障和就业支出（类）行政事业单位养老支出（款）其他行政事业单位养老支出（项）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0.6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退休人员薪资调整，缴费基数提高。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卫生健康支出（类）行政事业单位医疗（款）事业单位医疗（项）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0.65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人员薪资调整，缴费基数提高。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卫生健康支出（类）行政事业单位医疗（款）其他行政事业单位医疗支出（项）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3.88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人员薪资调整，医疗公补缴费基数提高。</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住房保障支出（类）住房改革支出（款）住房公积金（项）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rPr>
        <w:t>4.26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0.03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人员薪资调整，公积金缴费基数提高。</w:t>
      </w:r>
    </w:p>
    <w:p>
      <w:pPr>
        <w:ind w:firstLine="640"/>
        <w:rPr>
          <w:rFonts w:hint="eastAsia" w:ascii="仿宋_GB2312" w:hAnsi="仿宋_GB2312" w:eastAsia="仿宋_GB2312" w:cs="仿宋_GB2312"/>
          <w:b/>
          <w:bCs/>
          <w:sz w:val="32"/>
          <w:szCs w:val="32"/>
        </w:rPr>
      </w:pPr>
      <w:r>
        <w:rPr>
          <w:rFonts w:hint="eastAsia" w:ascii="黑体" w:hAnsi="黑体" w:eastAsia="黑体"/>
          <w:sz w:val="32"/>
          <w:szCs w:val="32"/>
        </w:rPr>
        <w:t>三、</w:t>
      </w:r>
      <w:r>
        <w:rPr>
          <w:rFonts w:hint="eastAsia" w:ascii="仿宋_GB2312" w:hAnsi="仿宋_GB2312" w:eastAsia="仿宋_GB2312" w:cs="仿宋_GB2312"/>
          <w:b/>
          <w:bCs/>
          <w:sz w:val="32"/>
          <w:szCs w:val="32"/>
        </w:rPr>
        <w:t>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年一般公共预算基本支出情况说明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年一般公共预算基本支出为82万元，其中：</w:t>
      </w:r>
    </w:p>
    <w:p>
      <w:pPr>
        <w:ind w:firstLine="640" w:firstLineChars="200"/>
        <w:rPr>
          <w:rFonts w:hint="eastAsia" w:ascii="仿宋_GB2312" w:hAnsi="黑体" w:eastAsia="仿宋_GB2312"/>
          <w:sz w:val="32"/>
          <w:szCs w:val="32"/>
          <w:lang w:eastAsia="zh-CN"/>
        </w:rPr>
      </w:pPr>
      <w:r>
        <w:rPr>
          <w:rFonts w:hint="eastAsia" w:ascii="仿宋_GB2312" w:hAnsi="仿宋_GB2312" w:eastAsia="仿宋_GB2312" w:cs="仿宋_GB2312"/>
          <w:sz w:val="32"/>
          <w:szCs w:val="32"/>
        </w:rPr>
        <w:t>人员经费75.3万元，主要包括：基本工资、津贴补贴、奖金、</w:t>
      </w:r>
      <w:r>
        <w:rPr>
          <w:rFonts w:hint="eastAsia" w:ascii="仿宋_GB2312" w:hAnsi="仿宋_GB2312" w:eastAsia="仿宋_GB2312" w:cs="仿宋_GB2312"/>
          <w:sz w:val="32"/>
          <w:szCs w:val="32"/>
          <w:lang w:eastAsia="zh-CN"/>
        </w:rPr>
        <w:t>绩效工资、机关事业单位基本养老保险缴费、城镇职工基本医疗保险缴费、公务员医疗补助缴费、其他社会保障缴费、住房公积金、医疗费、其他工资福利支出、邮电费、医疗费补助、奖励金。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6.7</w:t>
      </w:r>
      <w:r>
        <w:rPr>
          <w:rFonts w:hint="eastAsia" w:ascii="仿宋_GB2312" w:hAnsi="黑体" w:eastAsia="仿宋_GB2312"/>
          <w:sz w:val="32"/>
          <w:szCs w:val="32"/>
        </w:rPr>
        <w:t>万元，主要包括：其他社会保障缴费、办公费、差旅费、维修(护)费、培训费、工会经费</w:t>
      </w:r>
      <w:r>
        <w:rPr>
          <w:rFonts w:hint="eastAsia" w:ascii="仿宋_GB2312" w:hAnsi="黑体" w:eastAsia="仿宋_GB2312"/>
          <w:sz w:val="32"/>
          <w:szCs w:val="32"/>
          <w:lang w:eastAsia="zh-CN"/>
        </w:rPr>
        <w:t>、其他商品和服务支出</w:t>
      </w:r>
      <w:r>
        <w:rPr>
          <w:rFonts w:hint="eastAsia" w:ascii="仿宋_GB2312" w:hAnsi="黑体" w:eastAsia="仿宋_GB2312"/>
          <w:sz w:val="32"/>
          <w:szCs w:val="32"/>
        </w:rPr>
        <w:t>。</w:t>
      </w:r>
    </w:p>
    <w:p>
      <w:pPr>
        <w:ind w:firstLine="643" w:firstLineChars="200"/>
        <w:rPr>
          <w:rFonts w:hint="eastAsia"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四、</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年一般公共预算“三公”经费预算数为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黑体" w:eastAsia="仿宋_GB2312"/>
          <w:sz w:val="32"/>
          <w:szCs w:val="32"/>
        </w:rPr>
        <w:t>：</w:t>
      </w:r>
    </w:p>
    <w:p>
      <w:pPr>
        <w:ind w:firstLine="630"/>
        <w:rPr>
          <w:rFonts w:hint="eastAsia" w:ascii="仿宋_GB2312" w:hAnsi="仿宋_GB2312" w:eastAsia="仿宋_GB2312" w:cs="仿宋_GB2312"/>
          <w:sz w:val="32"/>
          <w:shd w:val="clear" w:color="auto" w:fill="FFFFFF"/>
        </w:rPr>
      </w:pP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，与上年预算持平。根据外事部门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hd w:val="clear" w:color="auto" w:fill="FFFFFF"/>
        </w:rPr>
        <w:t>年出国计划，拟安排出国（境）团（组）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hd w:val="clear" w:color="auto" w:fill="FFFFFF"/>
        </w:rPr>
        <w:t>人。出国（境）团组主要包括：1.</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团组：目的地为</w:t>
      </w:r>
      <w:r>
        <w:rPr>
          <w:rFonts w:hint="eastAsia" w:ascii="仿宋_GB2312" w:hAnsi="仿宋_GB2312" w:eastAsia="仿宋_GB2312" w:cs="仿宋_GB2312"/>
          <w:sz w:val="32"/>
          <w:shd w:val="clear" w:color="auto" w:fill="FFFFFF"/>
          <w:lang w:eastAsia="zh-CN"/>
        </w:rPr>
        <w:t>无</w:t>
      </w:r>
      <w:r>
        <w:rPr>
          <w:rFonts w:hint="eastAsia" w:ascii="仿宋_GB2312" w:hAnsi="仿宋_GB2312" w:eastAsia="仿宋_GB2312" w:cs="仿宋_GB2312"/>
          <w:sz w:val="32"/>
          <w:shd w:val="clear" w:color="auto" w:fill="FFFFFF"/>
        </w:rPr>
        <w:t>，人数为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hd w:val="clear" w:color="auto" w:fill="FFFFFF"/>
        </w:rPr>
        <w:t>人，天数为</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天，主要任务为</w:t>
      </w:r>
      <w:r>
        <w:rPr>
          <w:rFonts w:hint="eastAsia" w:ascii="仿宋_GB2312" w:hAnsi="仿宋_GB2312" w:eastAsia="仿宋_GB2312" w:cs="仿宋_GB2312"/>
          <w:sz w:val="32"/>
          <w:shd w:val="clear" w:color="auto" w:fill="FFFFFF"/>
          <w:lang w:eastAsia="zh-CN"/>
        </w:rPr>
        <w:t>无</w:t>
      </w:r>
      <w:r>
        <w:rPr>
          <w:rFonts w:hint="eastAsia" w:ascii="仿宋_GB2312" w:hAnsi="仿宋_GB2312" w:eastAsia="仿宋_GB2312" w:cs="仿宋_GB2312"/>
          <w:sz w:val="32"/>
          <w:shd w:val="clear" w:color="auto" w:fill="FFFFFF"/>
        </w:rPr>
        <w:t>；公务用车购置及运行费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hd w:val="clear" w:color="auto" w:fill="FFFFFF"/>
        </w:rPr>
        <w:t>公务用车购置费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，公务用车运行费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hd w:val="clear" w:color="auto" w:fill="FFFFFF"/>
        </w:rPr>
        <w:t>，与上年预算持平。公务车保有量</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辆，计划购置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hd w:val="clear" w:color="auto" w:fill="FFFFFF"/>
        </w:rPr>
        <w:t>；</w:t>
      </w:r>
      <w:r>
        <w:rPr>
          <w:rFonts w:hint="eastAsia" w:ascii="仿宋_GB2312" w:hAnsi="仿宋_GB2312" w:eastAsia="仿宋_GB2312" w:cs="仿宋_GB2312"/>
          <w:sz w:val="32"/>
          <w:szCs w:val="32"/>
        </w:rPr>
        <w:t>公务接待费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hd w:val="clear" w:color="auto" w:fill="FFFFFF"/>
        </w:rPr>
        <w:t>万元，与上年预算持平，计划接待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hd w:val="clear" w:color="auto" w:fill="FFFFFF"/>
          <w:lang w:eastAsia="zh-CN"/>
        </w:rPr>
        <w:t>（无此项预算）</w:t>
      </w:r>
      <w:r>
        <w:rPr>
          <w:rFonts w:hint="eastAsia" w:ascii="仿宋_GB2312" w:hAnsi="仿宋_GB2312" w:eastAsia="仿宋_GB2312" w:cs="仿宋_GB2312"/>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zCs w:val="32"/>
        </w:rPr>
        <w:t>年政府性基金预算“三公”经费预算数为</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仿宋_GB2312" w:hAnsi="仿宋_GB2312" w:eastAsia="仿宋_GB2312" w:cs="仿宋_GB2312"/>
          <w:sz w:val="32"/>
          <w:shd w:val="clear" w:color="auto" w:fill="FFFFFF"/>
        </w:rPr>
        <w:t>因公出国（境）经费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万元，与上年预算持平。根据外事部门</w:t>
      </w:r>
      <w:r>
        <w:rPr>
          <w:rFonts w:hint="eastAsia" w:ascii="仿宋_GB2312" w:hAnsi="仿宋_GB2312" w:eastAsia="仿宋_GB2312" w:cs="仿宋_GB2312"/>
          <w:sz w:val="32"/>
          <w:shd w:val="clear" w:color="auto" w:fill="FFFFFF"/>
          <w:lang w:eastAsia="zh-CN"/>
        </w:rPr>
        <w:t>和主管单位</w:t>
      </w:r>
      <w:r>
        <w:rPr>
          <w:rFonts w:hint="eastAsia" w:ascii="仿宋_GB2312" w:hAnsi="仿宋_GB2312" w:eastAsia="仿宋_GB2312" w:cs="仿宋_GB2312"/>
          <w:sz w:val="32"/>
          <w:shd w:val="clear" w:color="auto" w:fill="FFFFFF"/>
        </w:rPr>
        <w:t>等安排的</w:t>
      </w:r>
      <w:r>
        <w:rPr>
          <w:rFonts w:hint="eastAsia" w:ascii="仿宋_GB2312" w:hAnsi="仿宋_GB2312" w:eastAsia="仿宋_GB2312" w:cs="仿宋_GB2312"/>
          <w:sz w:val="32"/>
          <w:shd w:val="clear" w:color="auto" w:fill="FFFFFF"/>
          <w:lang w:val="en-US" w:eastAsia="zh-CN"/>
        </w:rPr>
        <w:t>2021</w:t>
      </w:r>
      <w:r>
        <w:rPr>
          <w:rFonts w:hint="eastAsia" w:ascii="仿宋_GB2312" w:hAnsi="仿宋_GB2312" w:eastAsia="仿宋_GB2312" w:cs="仿宋_GB2312"/>
          <w:sz w:val="32"/>
          <w:shd w:val="clear" w:color="auto" w:fill="FFFFFF"/>
        </w:rPr>
        <w:t>年出国计划，拟安排出国（境）组</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次，出国（境）</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人。出国（境）团组主要包括：1.</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团组：目的地为</w:t>
      </w:r>
      <w:r>
        <w:rPr>
          <w:rFonts w:hint="eastAsia" w:ascii="仿宋_GB2312" w:hAnsi="仿宋_GB2312" w:eastAsia="仿宋_GB2312" w:cs="仿宋_GB2312"/>
          <w:sz w:val="32"/>
          <w:shd w:val="clear" w:color="auto" w:fill="FFFFFF"/>
          <w:lang w:eastAsia="zh-CN"/>
        </w:rPr>
        <w:t>无</w:t>
      </w:r>
      <w:r>
        <w:rPr>
          <w:rFonts w:hint="eastAsia" w:ascii="仿宋_GB2312" w:hAnsi="仿宋_GB2312" w:eastAsia="仿宋_GB2312" w:cs="仿宋_GB2312"/>
          <w:sz w:val="32"/>
          <w:shd w:val="clear" w:color="auto" w:fill="FFFFFF"/>
        </w:rPr>
        <w:t>，人数为</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人，天数为</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天，主要任务为</w:t>
      </w:r>
      <w:r>
        <w:rPr>
          <w:rFonts w:hint="eastAsia" w:ascii="仿宋_GB2312" w:hAnsi="仿宋_GB2312" w:eastAsia="仿宋_GB2312" w:cs="仿宋_GB2312"/>
          <w:sz w:val="32"/>
          <w:shd w:val="clear" w:color="auto" w:fill="FFFFFF"/>
          <w:lang w:eastAsia="zh-CN"/>
        </w:rPr>
        <w:t>无</w:t>
      </w:r>
      <w:r>
        <w:rPr>
          <w:rFonts w:hint="eastAsia" w:ascii="仿宋_GB2312" w:hAnsi="仿宋_GB2312" w:eastAsia="仿宋_GB2312" w:cs="仿宋_GB2312"/>
          <w:sz w:val="32"/>
          <w:shd w:val="clear" w:color="auto" w:fill="FFFFFF"/>
        </w:rPr>
        <w:t>；公务用车购置及运行费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万元（其中，公务用车购置费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万元，公务用车运行费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万元），与上年预算持平；公务车保有量</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辆，计划购置</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辆。公务接待费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万元，与上年预算持平。计划接待</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批</w:t>
      </w:r>
      <w:r>
        <w:rPr>
          <w:rFonts w:hint="eastAsia" w:ascii="仿宋_GB2312" w:hAnsi="仿宋_GB2312" w:eastAsia="仿宋_GB2312" w:cs="仿宋_GB2312"/>
          <w:sz w:val="32"/>
          <w:shd w:val="clear" w:color="auto" w:fill="FFFFFF"/>
          <w:lang w:val="en-US" w:eastAsia="zh-CN"/>
        </w:rPr>
        <w:t>0</w:t>
      </w:r>
      <w:r>
        <w:rPr>
          <w:rFonts w:hint="eastAsia" w:ascii="仿宋_GB2312" w:hAnsi="仿宋_GB2312" w:eastAsia="仿宋_GB2312" w:cs="仿宋_GB2312"/>
          <w:sz w:val="32"/>
          <w:shd w:val="clear" w:color="auto" w:fill="FFFFFF"/>
        </w:rPr>
        <w:t>人</w:t>
      </w:r>
      <w:r>
        <w:rPr>
          <w:rFonts w:hint="eastAsia" w:ascii="仿宋_GB2312" w:hAnsi="仿宋_GB2312" w:eastAsia="仿宋_GB2312" w:cs="仿宋_GB2312"/>
          <w:sz w:val="32"/>
          <w:shd w:val="clear" w:color="auto" w:fill="FFFFFF"/>
          <w:lang w:eastAsia="zh-CN"/>
        </w:rPr>
        <w:t>（无此项预算）</w:t>
      </w:r>
      <w:r>
        <w:rPr>
          <w:rFonts w:hint="eastAsia" w:ascii="仿宋_GB2312" w:hAnsi="仿宋_GB2312" w:eastAsia="仿宋_GB2312" w:cs="仿宋_GB2312"/>
          <w:sz w:val="32"/>
          <w:shd w:val="clear" w:color="auto" w:fill="FFFFFF"/>
        </w:rPr>
        <w:t>。</w:t>
      </w:r>
    </w:p>
    <w:p>
      <w:pPr>
        <w:ind w:firstLine="643" w:firstLineChars="200"/>
        <w:rPr>
          <w:rFonts w:hint="eastAsia"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五、关于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年政府性基金预算当年拨款</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万元，比上年预算数持平</w:t>
      </w:r>
      <w:r>
        <w:rPr>
          <w:rFonts w:hint="eastAsia" w:ascii="仿宋_GB2312" w:hAnsi="仿宋_GB2312" w:eastAsia="仿宋_GB2312" w:cs="仿宋_GB2312"/>
          <w:sz w:val="32"/>
          <w:shd w:val="clear" w:color="auto" w:fill="FFFFFF"/>
          <w:lang w:eastAsia="zh-CN"/>
        </w:rPr>
        <w:t>（无此项预算）</w:t>
      </w:r>
      <w:r>
        <w:rPr>
          <w:rFonts w:hint="eastAsia" w:ascii="仿宋_GB2312" w:hAnsi="仿宋_GB2312" w:eastAsia="仿宋_GB2312" w:cs="仿宋_GB2312"/>
          <w:sz w:val="32"/>
          <w:szCs w:val="32"/>
        </w:rPr>
        <w:t>。</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仿宋_GB2312" w:eastAsia="仿宋_GB2312" w:cs="仿宋_GB2312"/>
          <w:sz w:val="32"/>
          <w:szCs w:val="32"/>
        </w:rPr>
        <w:t>科学技术支出（类）支出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%；文化体育与传媒支出（类）支出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%；社会保障和就业支出（类）支出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%；节能环保（类）支出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hd w:val="clear" w:color="auto" w:fill="FFFFFF"/>
          <w:lang w:eastAsia="zh-CN"/>
        </w:rPr>
        <w:t>（无此项预算）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3" w:firstLineChars="200"/>
        <w:rPr>
          <w:rFonts w:hint="eastAsia"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六、关于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hd w:val="clear" w:color="auto" w:fill="FFFFFF"/>
        </w:rPr>
        <w:t>年收支预算情况的总体说明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所有收入和支出均纳入部门预算管理。收入包括：一般公共预算拨款收入、政府性基金预算拨款收入、国有资本经营预算拨款收入、财政专户管理资金收入、事业收入</w:t>
      </w:r>
      <w:r>
        <w:rPr>
          <w:rFonts w:hint="eastAsia" w:ascii="仿宋_GB2312" w:hAnsi="仿宋_GB2312" w:eastAsia="仿宋_GB2312" w:cs="仿宋_GB2312"/>
          <w:sz w:val="32"/>
          <w:szCs w:val="32"/>
          <w:lang w:eastAsia="zh-CN"/>
        </w:rPr>
        <w:t>、上级补助收入、附属单位上缴收入、事业单位经营收入、其他收入、上年结转</w:t>
      </w:r>
      <w:r>
        <w:rPr>
          <w:rFonts w:hint="eastAsia" w:ascii="仿宋_GB2312" w:hAnsi="仿宋_GB2312" w:eastAsia="仿宋_GB2312" w:cs="仿宋_GB2312"/>
          <w:sz w:val="32"/>
          <w:szCs w:val="32"/>
        </w:rPr>
        <w:t>；支出包括：一般公共服务支出、外交支出、国防支出、公共安全支出、教育支出、科学技术支出</w:t>
      </w:r>
      <w:r>
        <w:rPr>
          <w:rFonts w:hint="eastAsia" w:ascii="仿宋_GB2312" w:hAnsi="仿宋_GB2312" w:eastAsia="仿宋_GB2312" w:cs="仿宋_GB2312"/>
          <w:sz w:val="32"/>
          <w:szCs w:val="32"/>
          <w:lang w:eastAsia="zh-CN"/>
        </w:rPr>
        <w:t>、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社会保险基金支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rPr>
        <w:t>万元。</w:t>
      </w:r>
    </w:p>
    <w:p>
      <w:pPr>
        <w:ind w:firstLine="643" w:firstLineChars="200"/>
        <w:rPr>
          <w:rFonts w:hint="eastAsia"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七、关于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hd w:val="clear" w:color="auto" w:fill="FFFFFF"/>
        </w:rPr>
        <w:t>年收入预算情况说明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rPr>
        <w:t>万元，其中：上年结转</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%；经费拨款收入</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%；政府性基金收入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%；专项收入</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%。比上年预算数增加</w:t>
      </w:r>
      <w:r>
        <w:rPr>
          <w:rFonts w:hint="eastAsia" w:ascii="仿宋_GB2312" w:hAnsi="仿宋_GB2312" w:eastAsia="仿宋_GB2312" w:cs="仿宋_GB2312"/>
          <w:sz w:val="32"/>
          <w:szCs w:val="32"/>
          <w:lang w:val="en-US" w:eastAsia="zh-CN"/>
        </w:rPr>
        <w:t>9.64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人员薪资调整，社会保险费跟公务员医疗补助等缴费基数提高。</w:t>
      </w:r>
    </w:p>
    <w:p>
      <w:pPr>
        <w:ind w:firstLine="643" w:firstLineChars="200"/>
        <w:rPr>
          <w:rFonts w:hint="eastAsia"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八、关于</w:t>
      </w:r>
      <w:r>
        <w:rPr>
          <w:rFonts w:hint="eastAsia" w:ascii="仿宋_GB2312" w:hAnsi="仿宋_GB2312" w:eastAsia="仿宋_GB2312" w:cs="仿宋_GB2312"/>
          <w:b/>
          <w:bCs/>
          <w:sz w:val="32"/>
          <w:szCs w:val="32"/>
          <w:lang w:eastAsia="zh-CN"/>
        </w:rPr>
        <w:t>海口市财政信息中心</w:t>
      </w:r>
      <w:r>
        <w:rPr>
          <w:rFonts w:hint="eastAsia" w:ascii="仿宋_GB2312" w:hAnsi="仿宋_GB2312" w:eastAsia="仿宋_GB2312" w:cs="仿宋_GB2312"/>
          <w:b/>
          <w:bCs/>
          <w:sz w:val="32"/>
          <w:szCs w:val="32"/>
        </w:rPr>
        <w:t>单位</w:t>
      </w:r>
      <w:r>
        <w:rPr>
          <w:rFonts w:hint="eastAsia" w:ascii="仿宋_GB2312" w:hAnsi="仿宋_GB2312" w:eastAsia="仿宋_GB2312" w:cs="仿宋_GB2312"/>
          <w:b/>
          <w:bCs/>
          <w:sz w:val="32"/>
          <w:szCs w:val="32"/>
          <w:lang w:val="en-US" w:eastAsia="zh-CN"/>
        </w:rPr>
        <w:t>2021</w:t>
      </w:r>
      <w:r>
        <w:rPr>
          <w:rFonts w:hint="eastAsia" w:ascii="仿宋_GB2312" w:hAnsi="仿宋_GB2312" w:eastAsia="仿宋_GB2312" w:cs="仿宋_GB2312"/>
          <w:b/>
          <w:bCs/>
          <w:sz w:val="32"/>
          <w:shd w:val="clear" w:color="auto" w:fill="FFFFFF"/>
        </w:rPr>
        <w:t>年支出预算情况说明</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海口市财政信息中心单位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年支出预算</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lang w:eastAsia="zh-CN"/>
        </w:rPr>
        <w:t>万元，其中：基本支出</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29.5</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lang w:eastAsia="zh-CN"/>
        </w:rPr>
        <w:t>万元，占</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lang w:eastAsia="zh-CN"/>
        </w:rPr>
        <w:t>%。比上年预算数增加</w:t>
      </w:r>
      <w:r>
        <w:rPr>
          <w:rFonts w:hint="eastAsia" w:ascii="仿宋_GB2312" w:hAnsi="仿宋_GB2312" w:eastAsia="仿宋_GB2312" w:cs="仿宋_GB2312"/>
          <w:sz w:val="32"/>
          <w:szCs w:val="32"/>
          <w:lang w:val="en-US" w:eastAsia="zh-CN"/>
        </w:rPr>
        <w:t>9.64</w:t>
      </w:r>
      <w:r>
        <w:rPr>
          <w:rFonts w:hint="eastAsia" w:ascii="仿宋_GB2312" w:hAnsi="仿宋_GB2312" w:eastAsia="仿宋_GB2312" w:cs="仿宋_GB2312"/>
          <w:sz w:val="32"/>
          <w:szCs w:val="32"/>
          <w:lang w:eastAsia="zh-CN"/>
        </w:rPr>
        <w:t>万元，主要是人员薪资调整。</w:t>
      </w:r>
    </w:p>
    <w:p>
      <w:pPr>
        <w:ind w:firstLine="643" w:firstLineChars="200"/>
        <w:rPr>
          <w:rFonts w:hint="eastAsia" w:ascii="仿宋_GB2312" w:hAnsi="仿宋_GB2312" w:eastAsia="仿宋_GB2312" w:cs="仿宋_GB2312"/>
          <w:b/>
          <w:bCs/>
          <w:sz w:val="32"/>
          <w:shd w:val="clear" w:color="auto" w:fill="FFFFFF"/>
        </w:rPr>
      </w:pPr>
      <w:r>
        <w:rPr>
          <w:rFonts w:hint="eastAsia" w:ascii="仿宋_GB2312" w:hAnsi="仿宋_GB2312" w:eastAsia="仿宋_GB2312" w:cs="仿宋_GB2312"/>
          <w:b/>
          <w:bCs/>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海口市财政信息中心机关运行经费预算6.33万元。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政府采购预算总额</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万元，其中：政府采购货物预算</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万元，政府采购工程预算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年12月31日，</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辆，机要通信应急用车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辆、一般执法执勤用车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辆。单位价值100万元以上设备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ind w:firstLine="64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海口市财政信息中心</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CN"/>
        </w:rPr>
        <w:t>278</w:t>
      </w:r>
      <w:r>
        <w:rPr>
          <w:rFonts w:hint="eastAsia" w:ascii="仿宋_GB2312" w:hAnsi="仿宋_GB2312" w:eastAsia="仿宋_GB2312" w:cs="仿宋_GB2312"/>
          <w:sz w:val="32"/>
          <w:szCs w:val="32"/>
        </w:rPr>
        <w:t>万元、政府性基金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p>
    <w:p>
      <w:pPr>
        <w:jc w:val="left"/>
        <w:rPr>
          <w:rFonts w:ascii="仿宋_GB2312" w:hAnsi="宋体" w:eastAsia="仿宋_GB2312" w:cs="宋体"/>
          <w:color w:val="000000"/>
          <w:kern w:val="0"/>
          <w:sz w:val="32"/>
          <w:szCs w:val="30"/>
        </w:rPr>
      </w:pPr>
      <w:bookmarkStart w:id="0" w:name="_GoBack"/>
      <w:bookmarkEnd w:id="0"/>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01101142"/>
    <w:rsid w:val="03CE337D"/>
    <w:rsid w:val="06FD671D"/>
    <w:rsid w:val="0AF73A25"/>
    <w:rsid w:val="0BF66443"/>
    <w:rsid w:val="0E8F5390"/>
    <w:rsid w:val="1DDB7996"/>
    <w:rsid w:val="30F13BB5"/>
    <w:rsid w:val="35123045"/>
    <w:rsid w:val="3AF539E8"/>
    <w:rsid w:val="3B965C5F"/>
    <w:rsid w:val="3D9D781C"/>
    <w:rsid w:val="40AF514A"/>
    <w:rsid w:val="479D3418"/>
    <w:rsid w:val="50ED27E2"/>
    <w:rsid w:val="51360E78"/>
    <w:rsid w:val="530D58A7"/>
    <w:rsid w:val="542F529E"/>
    <w:rsid w:val="59A11196"/>
    <w:rsid w:val="5AB73FBA"/>
    <w:rsid w:val="62666232"/>
    <w:rsid w:val="687D0FFA"/>
    <w:rsid w:val="6B24041B"/>
    <w:rsid w:val="6C42064A"/>
    <w:rsid w:val="751B51E4"/>
    <w:rsid w:val="7AC511CE"/>
    <w:rsid w:val="7B0A2D32"/>
    <w:rsid w:val="7C2527D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3"/>
    <w:semiHidden/>
    <w:unhideWhenUsed/>
    <w:uiPriority w:val="99"/>
    <w:pPr>
      <w:tabs>
        <w:tab w:val="center" w:pos="4153"/>
        <w:tab w:val="right" w:pos="8306"/>
      </w:tabs>
      <w:snapToGrid w:val="0"/>
      <w:jc w:val="left"/>
    </w:pPr>
    <w:rPr>
      <w:sz w:val="18"/>
      <w:szCs w:val="18"/>
    </w:rPr>
  </w:style>
  <w:style w:type="paragraph" w:styleId="3">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semiHidden/>
    <w:unhideWhenUsed/>
    <w:uiPriority w:val="0"/>
    <w:rPr>
      <w:color w:val="666666"/>
      <w:u w:val="none"/>
    </w:rPr>
  </w:style>
  <w:style w:type="character" w:styleId="8">
    <w:name w:val="Emphasis"/>
    <w:basedOn w:val="6"/>
    <w:qFormat/>
    <w:uiPriority w:val="20"/>
  </w:style>
  <w:style w:type="character" w:styleId="9">
    <w:name w:val="Hyperlink"/>
    <w:basedOn w:val="6"/>
    <w:semiHidden/>
    <w:unhideWhenUsed/>
    <w:uiPriority w:val="0"/>
    <w:rPr>
      <w:color w:val="666666"/>
      <w:u w:val="none"/>
    </w:rPr>
  </w:style>
  <w:style w:type="paragraph" w:customStyle="1" w:styleId="10">
    <w:name w:val="List Paragraph"/>
    <w:basedOn w:val="1"/>
    <w:qFormat/>
    <w:uiPriority w:val="34"/>
    <w:pPr>
      <w:ind w:firstLine="420" w:firstLineChars="200"/>
    </w:pPr>
  </w:style>
  <w:style w:type="paragraph" w:customStyle="1" w:styleId="11">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12">
    <w:name w:val="页眉 Char"/>
    <w:basedOn w:val="6"/>
    <w:link w:val="3"/>
    <w:semiHidden/>
    <w:qFormat/>
    <w:uiPriority w:val="99"/>
    <w:rPr>
      <w:sz w:val="18"/>
      <w:szCs w:val="18"/>
    </w:rPr>
  </w:style>
  <w:style w:type="character" w:customStyle="1" w:styleId="13">
    <w:name w:val="页脚 Char"/>
    <w:basedOn w:val="6"/>
    <w:link w:val="2"/>
    <w:semiHidden/>
    <w:qFormat/>
    <w:uiPriority w:val="99"/>
    <w:rPr>
      <w:sz w:val="18"/>
      <w:szCs w:val="18"/>
    </w:rPr>
  </w:style>
  <w:style w:type="character" w:customStyle="1" w:styleId="14">
    <w:name w:val="cs_disabled"/>
    <w:basedOn w:val="6"/>
    <w:qFormat/>
    <w:uiPriority w:val="0"/>
    <w:rPr>
      <w:color w:val="999999"/>
      <w:sz w:val="21"/>
      <w:szCs w:val="21"/>
    </w:rPr>
  </w:style>
  <w:style w:type="character" w:customStyle="1" w:styleId="15">
    <w:name w:val="cs_current"/>
    <w:basedOn w:val="6"/>
    <w:qFormat/>
    <w:uiPriority w:val="0"/>
    <w:rPr>
      <w:color w:val="999999"/>
      <w:sz w:val="21"/>
      <w:szCs w:val="21"/>
      <w:shd w:val="clear" w:fill="F5F5F5"/>
    </w:rPr>
  </w:style>
  <w:style w:type="character" w:customStyle="1" w:styleId="16">
    <w:name w:val="txt3"/>
    <w:basedOn w:val="6"/>
    <w:uiPriority w:val="0"/>
    <w:rPr>
      <w:sz w:val="36"/>
      <w:szCs w:val="36"/>
    </w:rPr>
  </w:style>
  <w:style w:type="character" w:customStyle="1" w:styleId="17">
    <w:name w:val="txt1"/>
    <w:basedOn w:val="6"/>
    <w:qFormat/>
    <w:uiPriority w:val="0"/>
    <w:rPr>
      <w:sz w:val="45"/>
      <w:szCs w:val="45"/>
    </w:rPr>
  </w:style>
  <w:style w:type="character" w:customStyle="1" w:styleId="18">
    <w:name w:val="txt2"/>
    <w:basedOn w:val="6"/>
    <w:uiPriority w:val="0"/>
    <w:rPr>
      <w:sz w:val="36"/>
      <w:szCs w:val="36"/>
    </w:rPr>
  </w:style>
  <w:style w:type="character" w:customStyle="1" w:styleId="19">
    <w:name w:val="xubox_tabnow"/>
    <w:basedOn w:val="6"/>
    <w:qFormat/>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cp:lastModifiedBy>
  <dcterms:modified xsi:type="dcterms:W3CDTF">2021-03-16T08:47:33Z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