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海口市财政局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2021年4月14日</w:t>
      </w:r>
    </w:p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4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组织财政干部综合素质能力培训及省外培训次数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组织财政干部综合素质能力培训及省外培训次数</w:t>
            </w:r>
            <w:r>
              <w:rPr>
                <w:rFonts w:hint="eastAsia" w:ascii="宋体" w:hAnsi="宋体"/>
                <w:sz w:val="24"/>
                <w:lang w:eastAsia="zh-CN"/>
              </w:rPr>
              <w:t>达到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 w:eastAsia="宋体"/>
                <w:sz w:val="24"/>
              </w:rPr>
              <w:t>组织财政干部综合素质能力培训及省外培训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提升财政干部综合能力</w:t>
            </w:r>
          </w:p>
        </w:tc>
        <w:tc>
          <w:tcPr>
            <w:tcW w:w="872" w:type="dxa"/>
            <w:vAlign w:val="top"/>
          </w:tcPr>
          <w:p>
            <w:pPr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908"/>
        <w:gridCol w:w="25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伍振湘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629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439.64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Verdana" w:hAnsi="Verdana" w:eastAsia="宋体" w:cs="Verdana"/>
                <w:sz w:val="18"/>
                <w:szCs w:val="18"/>
              </w:rPr>
              <w:t>335.91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439.64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Verdana" w:hAnsi="Verdana" w:eastAsia="宋体" w:cs="Verdana"/>
                <w:sz w:val="18"/>
                <w:szCs w:val="18"/>
              </w:rPr>
              <w:t>335.91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侯同波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陈期壮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简赞丽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海口市财政局行政编制58 名。设局长1 名，副局长3名。科级领导职数32 名，其中正科级17 名（含机关党委专职副书记和总会计师各1 名），副科级15 名。内部设有15个科室：办公室、组织人事科、综合规划科、预算管理科（税政科）、国库科、行政政法科、教宣科、经济建设科、农业农村科、社会保障科、旅游文化和商贸科、政府采购管理科、自然资源和生态环境科（资产管理科）、债务金融科、绩效管理科（行政审批办公室、监督内审科）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综合事务属于非跨年度经常性项目，主要用于支付单位劳务派遣人员工资、相关业务培训费、差旅费、办公用品费用、书刊杂志费用等。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综合事务项目属于非跨年度经常性项目。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综合事务项目2020年经费预算470万元，调整30.36万元，实际到位资金439.64万元，上诉项目资金已在当年由市财政局下达本局，共计439.64万元，该项目为财政拨款资金，列入一般公共预算。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截止2020年12月31日，综合事务项目已完成支出335.91万元，未完成支出103.73万元，已完成支出占年初预算76.41%。已支出经费主要用于支付单位劳务派遣人员工资、相关业务培训费、差旅费、办公用品费用、书刊杂志费用等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2020年，市财政局严格按照内控工作要求，不断探索项目管理的有效机制，完善资金使用制度建设，保障了综合事务项目资金的有序安全运行，取得了明显成效。项目资金拨付严格审批程序，使用规范，会计核算结果真实、准确。此次绩效评价过程中未发现有截留、挤占或挪用项目资金的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市财政局严格按照财政部门要求使用资金，坚持量入为出，保障重点，兼顾一般，厉行节约，防止奢侈浪费，注重降低行政成本，提高资金使用效益，无虚列项目支出、截留、挤占、挪用、浪费、套取、转移专项资金等问题，保障了市财政局有序高效运转，促进了市财政绩效的提升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综合事务项目2020年预算金额470万元，调整30.36万元，实际到位资金439.64万元。于当年完成支出335.91万元，已支出经费主要用于支付单位劳务派遣人员工资、相关业务培训费、差旅费、办公用品费用、书刊杂志费用等。项目实施过程中严格按照项目预算科目及有关政策规定进行支付，项目总体未超支。</w:t>
      </w:r>
    </w:p>
    <w:p>
      <w:pPr>
        <w:numPr>
          <w:ilvl w:val="0"/>
          <w:numId w:val="4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根据项目运行方案，细化任务，合理配置资源，建立项目控制管理机制，规避风险，确保整个项目完成情况良好，严格按照标准执行，未出现超预算问题。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实施严格的项目管理。截止2020年12月31日，综合事务项目2020年预算金额470万元，调整30.36万元，实际到位资金439.64万元，按进度付款于当年支出335.91万元，结余103.73万元，项目支出进度达到76.41%。</w:t>
      </w:r>
    </w:p>
    <w:p>
      <w:pPr>
        <w:numPr>
          <w:ilvl w:val="0"/>
          <w:numId w:val="0"/>
        </w:numPr>
        <w:spacing w:line="578" w:lineRule="exact"/>
        <w:ind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根据项目运行方案，细化任务，合理配置资源，建立项目控制管理机制，规避项目风险，确保了整个项目的质量，项目完成质量优秀。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根据年初预算制定支出总体目标，严格执行年初制定的综合事务项目完成程度较好，基本完成预定预算目标。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切实把综合事务项目作为一项常态常新的重要项目，项目经费列入年度财政预算，严格项目管理和支出，确保财政资金效益的最大化，实现项目的可持续性发展。</w:t>
      </w:r>
    </w:p>
    <w:p>
      <w:pPr>
        <w:numPr>
          <w:ilvl w:val="0"/>
          <w:numId w:val="3"/>
        </w:numPr>
        <w:tabs>
          <w:tab w:val="left" w:pos="878"/>
        </w:tabs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项目目标全面完成。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2020年度，我局的综合事务项目在目标设定、决策过程、资金分配、资金到位、资金管理、组织实施、项目效果等方面落实情况较好、总自评分98分，评价等次为优。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七、其他需说明的问题</w:t>
      </w:r>
    </w:p>
    <w:p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8CCCF"/>
    <w:multiLevelType w:val="singleLevel"/>
    <w:tmpl w:val="8678CCC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A72A7C"/>
    <w:multiLevelType w:val="singleLevel"/>
    <w:tmpl w:val="FBA72A7C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FBD9CCA3"/>
    <w:multiLevelType w:val="singleLevel"/>
    <w:tmpl w:val="FBD9CC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E16649"/>
    <w:multiLevelType w:val="singleLevel"/>
    <w:tmpl w:val="FDE16649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18BD2FA3"/>
    <w:multiLevelType w:val="singleLevel"/>
    <w:tmpl w:val="18BD2F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7354E0E"/>
    <w:rsid w:val="0CE22F77"/>
    <w:rsid w:val="1806004C"/>
    <w:rsid w:val="1C2F2A35"/>
    <w:rsid w:val="231D6897"/>
    <w:rsid w:val="259432D3"/>
    <w:rsid w:val="262354FE"/>
    <w:rsid w:val="26DF5F1D"/>
    <w:rsid w:val="28442410"/>
    <w:rsid w:val="2E9D3202"/>
    <w:rsid w:val="34450B3B"/>
    <w:rsid w:val="3B445845"/>
    <w:rsid w:val="4134297A"/>
    <w:rsid w:val="4400059A"/>
    <w:rsid w:val="4BDD1477"/>
    <w:rsid w:val="4CF7691C"/>
    <w:rsid w:val="4EA16468"/>
    <w:rsid w:val="4EAF4FFC"/>
    <w:rsid w:val="5013043C"/>
    <w:rsid w:val="50C130B7"/>
    <w:rsid w:val="52A0738B"/>
    <w:rsid w:val="5DBE0A93"/>
    <w:rsid w:val="64221EE9"/>
    <w:rsid w:val="649B2AB3"/>
    <w:rsid w:val="699045B0"/>
    <w:rsid w:val="6EBD6195"/>
    <w:rsid w:val="7CA07B09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</cp:lastModifiedBy>
  <cp:lastPrinted>2021-04-16T07:33:58Z</cp:lastPrinted>
  <dcterms:modified xsi:type="dcterms:W3CDTF">2021-04-16T07:35:07Z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